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D5" w:rsidRDefault="004A78D5" w:rsidP="0014657B">
      <w:pPr>
        <w:jc w:val="center"/>
        <w:rPr>
          <w:rFonts w:ascii="標楷體" w:eastAsia="標楷體" w:hAnsi="標楷體"/>
          <w:sz w:val="32"/>
          <w:szCs w:val="32"/>
        </w:rPr>
      </w:pPr>
      <w:r>
        <w:rPr>
          <w:rFonts w:ascii="標楷體" w:eastAsia="標楷體" w:hAnsi="標楷體" w:hint="eastAsia"/>
          <w:sz w:val="32"/>
          <w:szCs w:val="32"/>
        </w:rPr>
        <w:t>檢察官評鑑委員會評鑑決議書</w:t>
      </w:r>
    </w:p>
    <w:p w:rsidR="004A78D5" w:rsidRDefault="004A78D5" w:rsidP="0014657B">
      <w:pPr>
        <w:jc w:val="right"/>
        <w:rPr>
          <w:rFonts w:ascii="標楷體" w:eastAsia="標楷體" w:hAnsi="標楷體"/>
          <w:sz w:val="28"/>
          <w:szCs w:val="28"/>
        </w:rPr>
      </w:pPr>
      <w:r>
        <w:rPr>
          <w:rFonts w:ascii="標楷體" w:eastAsia="標楷體" w:hAnsi="標楷體"/>
          <w:sz w:val="28"/>
          <w:szCs w:val="28"/>
        </w:rPr>
        <w:t xml:space="preserve">                          103</w:t>
      </w:r>
      <w:r>
        <w:rPr>
          <w:rFonts w:ascii="標楷體" w:eastAsia="標楷體" w:hAnsi="標楷體" w:hint="eastAsia"/>
          <w:sz w:val="28"/>
          <w:szCs w:val="28"/>
        </w:rPr>
        <w:t>年度檢評字第</w:t>
      </w:r>
      <w:r w:rsidR="004C350D">
        <w:rPr>
          <w:rFonts w:ascii="標楷體" w:eastAsia="標楷體" w:hAnsi="標楷體" w:hint="eastAsia"/>
          <w:sz w:val="28"/>
          <w:szCs w:val="28"/>
        </w:rPr>
        <w:t>0</w:t>
      </w:r>
      <w:r>
        <w:rPr>
          <w:rFonts w:ascii="標楷體" w:eastAsia="標楷體" w:hAnsi="標楷體"/>
          <w:sz w:val="28"/>
          <w:szCs w:val="28"/>
        </w:rPr>
        <w:t>11</w:t>
      </w:r>
      <w:r>
        <w:rPr>
          <w:rFonts w:ascii="標楷體" w:eastAsia="標楷體" w:hAnsi="標楷體" w:hint="eastAsia"/>
          <w:sz w:val="28"/>
          <w:szCs w:val="28"/>
        </w:rPr>
        <w:t>號</w:t>
      </w:r>
    </w:p>
    <w:p w:rsidR="004A78D5" w:rsidRPr="00D246B6" w:rsidRDefault="004A78D5" w:rsidP="0014657B">
      <w:pPr>
        <w:rPr>
          <w:rFonts w:ascii="標楷體" w:eastAsia="標楷體" w:hAnsi="標楷體"/>
          <w:sz w:val="28"/>
          <w:szCs w:val="28"/>
        </w:rPr>
      </w:pPr>
      <w:r>
        <w:rPr>
          <w:rFonts w:ascii="標楷體" w:eastAsia="標楷體" w:hAnsi="標楷體" w:hint="eastAsia"/>
          <w:sz w:val="28"/>
          <w:szCs w:val="28"/>
        </w:rPr>
        <w:t>請</w:t>
      </w:r>
      <w:r>
        <w:rPr>
          <w:rFonts w:ascii="標楷體" w:eastAsia="標楷體" w:hAnsi="標楷體"/>
          <w:sz w:val="28"/>
          <w:szCs w:val="28"/>
        </w:rPr>
        <w:t xml:space="preserve">   </w:t>
      </w:r>
      <w:r>
        <w:rPr>
          <w:rFonts w:ascii="標楷體" w:eastAsia="標楷體" w:hAnsi="標楷體" w:hint="eastAsia"/>
          <w:sz w:val="28"/>
          <w:szCs w:val="28"/>
        </w:rPr>
        <w:t>求</w:t>
      </w:r>
      <w:r>
        <w:rPr>
          <w:rFonts w:ascii="標楷體" w:eastAsia="標楷體" w:hAnsi="標楷體"/>
          <w:sz w:val="28"/>
          <w:szCs w:val="28"/>
        </w:rPr>
        <w:t xml:space="preserve">   </w:t>
      </w:r>
      <w:r>
        <w:rPr>
          <w:rFonts w:ascii="標楷體" w:eastAsia="標楷體" w:hAnsi="標楷體" w:hint="eastAsia"/>
          <w:sz w:val="28"/>
          <w:szCs w:val="28"/>
        </w:rPr>
        <w:t>人</w:t>
      </w:r>
      <w:r>
        <w:rPr>
          <w:rFonts w:ascii="標楷體" w:eastAsia="標楷體" w:hAnsi="標楷體"/>
          <w:sz w:val="28"/>
          <w:szCs w:val="28"/>
        </w:rPr>
        <w:t xml:space="preserve">  </w:t>
      </w:r>
      <w:r w:rsidRPr="002108F6">
        <w:rPr>
          <w:rFonts w:ascii="標楷體" w:eastAsia="標楷體" w:hAnsi="標楷體" w:hint="eastAsia"/>
          <w:sz w:val="28"/>
          <w:szCs w:val="28"/>
        </w:rPr>
        <w:t>財團法人民間司法改革基金會</w:t>
      </w:r>
    </w:p>
    <w:p w:rsidR="004A78D5" w:rsidRDefault="004A78D5" w:rsidP="0014657B">
      <w:pPr>
        <w:rPr>
          <w:rFonts w:ascii="Verdana" w:hAnsi="Verdana"/>
          <w:color w:val="FFFFFF"/>
          <w:sz w:val="16"/>
          <w:szCs w:val="16"/>
        </w:rPr>
      </w:pPr>
      <w:r>
        <w:rPr>
          <w:rFonts w:ascii="標楷體" w:eastAsia="標楷體" w:hAnsi="標楷體"/>
          <w:sz w:val="28"/>
          <w:szCs w:val="28"/>
        </w:rPr>
        <w:t xml:space="preserve">              </w:t>
      </w:r>
      <w:r>
        <w:rPr>
          <w:rFonts w:ascii="標楷體" w:eastAsia="標楷體" w:hAnsi="標楷體" w:hint="eastAsia"/>
          <w:sz w:val="28"/>
          <w:szCs w:val="28"/>
        </w:rPr>
        <w:t>設</w:t>
      </w:r>
      <w:r w:rsidRPr="002108F6">
        <w:rPr>
          <w:rFonts w:ascii="標楷體" w:eastAsia="標楷體" w:hAnsi="標楷體" w:hint="eastAsia"/>
          <w:sz w:val="28"/>
          <w:szCs w:val="28"/>
        </w:rPr>
        <w:t>台北市中山區松江路</w:t>
      </w:r>
      <w:r w:rsidRPr="002108F6">
        <w:rPr>
          <w:rFonts w:ascii="標楷體" w:eastAsia="標楷體" w:hAnsi="標楷體"/>
          <w:sz w:val="28"/>
          <w:szCs w:val="28"/>
        </w:rPr>
        <w:t>90</w:t>
      </w:r>
      <w:r w:rsidRPr="002108F6">
        <w:rPr>
          <w:rFonts w:ascii="標楷體" w:eastAsia="標楷體" w:hAnsi="標楷體" w:hint="eastAsia"/>
          <w:sz w:val="28"/>
          <w:szCs w:val="28"/>
        </w:rPr>
        <w:t>巷</w:t>
      </w:r>
      <w:r w:rsidRPr="002108F6">
        <w:rPr>
          <w:rFonts w:ascii="標楷體" w:eastAsia="標楷體" w:hAnsi="標楷體"/>
          <w:sz w:val="28"/>
          <w:szCs w:val="28"/>
        </w:rPr>
        <w:t>3</w:t>
      </w:r>
      <w:r w:rsidRPr="002108F6">
        <w:rPr>
          <w:rFonts w:ascii="標楷體" w:eastAsia="標楷體" w:hAnsi="標楷體" w:hint="eastAsia"/>
          <w:sz w:val="28"/>
          <w:szCs w:val="28"/>
        </w:rPr>
        <w:t>號</w:t>
      </w:r>
      <w:r w:rsidRPr="002108F6">
        <w:rPr>
          <w:rFonts w:ascii="標楷體" w:eastAsia="標楷體" w:hAnsi="標楷體"/>
          <w:sz w:val="28"/>
          <w:szCs w:val="28"/>
        </w:rPr>
        <w:t>7</w:t>
      </w:r>
      <w:r w:rsidRPr="002108F6">
        <w:rPr>
          <w:rFonts w:ascii="標楷體" w:eastAsia="標楷體" w:hAnsi="標楷體" w:hint="eastAsia"/>
          <w:sz w:val="28"/>
          <w:szCs w:val="28"/>
        </w:rPr>
        <w:t>樓</w:t>
      </w:r>
    </w:p>
    <w:p w:rsidR="004A78D5" w:rsidRDefault="004A78D5" w:rsidP="0014657B">
      <w:pPr>
        <w:rPr>
          <w:rFonts w:ascii="標楷體" w:eastAsia="標楷體" w:hAnsi="標楷體"/>
          <w:sz w:val="28"/>
          <w:szCs w:val="28"/>
        </w:rPr>
      </w:pPr>
      <w:r>
        <w:rPr>
          <w:rFonts w:ascii="標楷體" w:eastAsia="標楷體" w:hAnsi="標楷體" w:hint="eastAsia"/>
          <w:sz w:val="28"/>
          <w:szCs w:val="28"/>
        </w:rPr>
        <w:t>代</w:t>
      </w:r>
      <w:r>
        <w:rPr>
          <w:rFonts w:ascii="標楷體" w:eastAsia="標楷體" w:hAnsi="標楷體"/>
          <w:sz w:val="28"/>
          <w:szCs w:val="28"/>
        </w:rPr>
        <w:t xml:space="preserve">   </w:t>
      </w:r>
      <w:r>
        <w:rPr>
          <w:rFonts w:ascii="標楷體" w:eastAsia="標楷體" w:hAnsi="標楷體" w:hint="eastAsia"/>
          <w:sz w:val="28"/>
          <w:szCs w:val="28"/>
        </w:rPr>
        <w:t>表</w:t>
      </w:r>
      <w:r>
        <w:rPr>
          <w:rFonts w:ascii="標楷體" w:eastAsia="標楷體" w:hAnsi="標楷體"/>
          <w:sz w:val="28"/>
          <w:szCs w:val="28"/>
        </w:rPr>
        <w:t xml:space="preserve">   </w:t>
      </w:r>
      <w:r>
        <w:rPr>
          <w:rFonts w:ascii="標楷體" w:eastAsia="標楷體" w:hAnsi="標楷體" w:hint="eastAsia"/>
          <w:sz w:val="28"/>
          <w:szCs w:val="28"/>
        </w:rPr>
        <w:t>人</w:t>
      </w:r>
      <w:r>
        <w:rPr>
          <w:rFonts w:ascii="標楷體" w:eastAsia="標楷體" w:hAnsi="標楷體"/>
          <w:sz w:val="28"/>
          <w:szCs w:val="28"/>
        </w:rPr>
        <w:t xml:space="preserve">  </w:t>
      </w:r>
      <w:r>
        <w:rPr>
          <w:rFonts w:ascii="標楷體" w:eastAsia="標楷體" w:hAnsi="標楷體" w:hint="eastAsia"/>
          <w:sz w:val="28"/>
          <w:szCs w:val="28"/>
        </w:rPr>
        <w:t>翟海源</w:t>
      </w:r>
    </w:p>
    <w:p w:rsidR="004A78D5" w:rsidRDefault="004A78D5" w:rsidP="00C67FB5">
      <w:pPr>
        <w:spacing w:line="500" w:lineRule="exact"/>
        <w:rPr>
          <w:rFonts w:ascii="標楷體" w:eastAsia="標楷體" w:hAnsi="標楷體"/>
          <w:sz w:val="28"/>
          <w:szCs w:val="28"/>
        </w:rPr>
      </w:pPr>
      <w:r>
        <w:rPr>
          <w:rFonts w:ascii="標楷體" w:eastAsia="標楷體" w:hAnsi="標楷體" w:hint="eastAsia"/>
          <w:sz w:val="28"/>
          <w:szCs w:val="28"/>
        </w:rPr>
        <w:t>受</w:t>
      </w:r>
      <w:r>
        <w:rPr>
          <w:rFonts w:ascii="標楷體" w:eastAsia="標楷體" w:hAnsi="標楷體"/>
          <w:sz w:val="28"/>
          <w:szCs w:val="28"/>
        </w:rPr>
        <w:t xml:space="preserve">  </w:t>
      </w:r>
      <w:r>
        <w:rPr>
          <w:rFonts w:ascii="標楷體" w:eastAsia="標楷體" w:hAnsi="標楷體" w:hint="eastAsia"/>
          <w:sz w:val="28"/>
          <w:szCs w:val="28"/>
        </w:rPr>
        <w:t>評</w:t>
      </w:r>
      <w:r>
        <w:rPr>
          <w:rFonts w:ascii="標楷體" w:eastAsia="標楷體" w:hAnsi="標楷體"/>
          <w:sz w:val="28"/>
          <w:szCs w:val="28"/>
        </w:rPr>
        <w:t xml:space="preserve">  </w:t>
      </w:r>
      <w:r>
        <w:rPr>
          <w:rFonts w:ascii="標楷體" w:eastAsia="標楷體" w:hAnsi="標楷體" w:hint="eastAsia"/>
          <w:sz w:val="28"/>
          <w:szCs w:val="28"/>
        </w:rPr>
        <w:t>鑑</w:t>
      </w:r>
      <w:r>
        <w:rPr>
          <w:rFonts w:ascii="標楷體" w:eastAsia="標楷體" w:hAnsi="標楷體"/>
          <w:sz w:val="28"/>
          <w:szCs w:val="28"/>
        </w:rPr>
        <w:t xml:space="preserve"> </w:t>
      </w:r>
      <w:r>
        <w:rPr>
          <w:rFonts w:ascii="標楷體" w:eastAsia="標楷體" w:hAnsi="標楷體" w:hint="eastAsia"/>
          <w:sz w:val="28"/>
          <w:szCs w:val="28"/>
        </w:rPr>
        <w:t>人</w:t>
      </w:r>
      <w:r>
        <w:rPr>
          <w:rFonts w:ascii="標楷體" w:eastAsia="標楷體" w:hAnsi="標楷體"/>
          <w:sz w:val="28"/>
          <w:szCs w:val="28"/>
        </w:rPr>
        <w:t xml:space="preserve">  </w:t>
      </w:r>
      <w:r w:rsidR="00EA7A85">
        <w:rPr>
          <w:rFonts w:ascii="標楷體" w:eastAsia="標楷體" w:hAnsi="標楷體" w:hint="eastAsia"/>
          <w:sz w:val="28"/>
          <w:szCs w:val="28"/>
        </w:rPr>
        <w:t>林○○</w:t>
      </w:r>
      <w:r>
        <w:rPr>
          <w:rFonts w:ascii="標楷體" w:eastAsia="標楷體" w:hAnsi="標楷體"/>
          <w:sz w:val="28"/>
          <w:szCs w:val="28"/>
        </w:rPr>
        <w:t xml:space="preserve">  </w:t>
      </w:r>
      <w:r>
        <w:rPr>
          <w:rFonts w:ascii="標楷體" w:eastAsia="標楷體" w:hAnsi="標楷體" w:hint="eastAsia"/>
          <w:sz w:val="28"/>
          <w:szCs w:val="28"/>
        </w:rPr>
        <w:t>男</w:t>
      </w:r>
      <w:r>
        <w:rPr>
          <w:rFonts w:ascii="標楷體" w:eastAsia="標楷體" w:hAnsi="標楷體"/>
          <w:sz w:val="28"/>
          <w:szCs w:val="28"/>
        </w:rPr>
        <w:t xml:space="preserve">   </w:t>
      </w:r>
      <w:r w:rsidR="007E7D33">
        <w:rPr>
          <w:rFonts w:ascii="標楷體" w:eastAsia="標楷體" w:hAnsi="標楷體" w:hint="eastAsia"/>
          <w:sz w:val="28"/>
          <w:szCs w:val="28"/>
        </w:rPr>
        <w:t>臺灣新北地方法院檢察署主任檢察官派駐</w:t>
      </w:r>
      <w:r>
        <w:rPr>
          <w:rFonts w:ascii="標楷體" w:eastAsia="標楷體" w:hAnsi="標楷體" w:hint="eastAsia"/>
          <w:sz w:val="28"/>
          <w:szCs w:val="28"/>
        </w:rPr>
        <w:t>法務部廉政署辦理主任秘書職務</w:t>
      </w:r>
    </w:p>
    <w:p w:rsidR="004A78D5" w:rsidRDefault="004A78D5" w:rsidP="0014657B">
      <w:pPr>
        <w:rPr>
          <w:rFonts w:ascii="標楷體" w:eastAsia="標楷體" w:hAnsi="標楷體"/>
          <w:sz w:val="28"/>
          <w:szCs w:val="28"/>
        </w:rPr>
      </w:pPr>
    </w:p>
    <w:p w:rsidR="004A78D5" w:rsidRDefault="004A78D5" w:rsidP="0014657B">
      <w:pPr>
        <w:rPr>
          <w:rFonts w:ascii="標楷體" w:eastAsia="標楷體" w:hAnsi="標楷體"/>
          <w:sz w:val="28"/>
          <w:szCs w:val="28"/>
        </w:rPr>
      </w:pPr>
      <w:r>
        <w:rPr>
          <w:rFonts w:ascii="標楷體" w:eastAsia="標楷體" w:hAnsi="標楷體" w:hint="eastAsia"/>
          <w:sz w:val="28"/>
          <w:szCs w:val="28"/>
        </w:rPr>
        <w:t>上列受評鑑人因違反法官法事件，經</w:t>
      </w:r>
      <w:r w:rsidRPr="002108F6">
        <w:rPr>
          <w:rFonts w:ascii="標楷體" w:eastAsia="標楷體" w:hAnsi="標楷體" w:hint="eastAsia"/>
          <w:sz w:val="28"/>
          <w:szCs w:val="28"/>
        </w:rPr>
        <w:t>財團法人民間司法改革基金會</w:t>
      </w:r>
      <w:r>
        <w:rPr>
          <w:rFonts w:ascii="標楷體" w:eastAsia="標楷體" w:hAnsi="標楷體" w:hint="eastAsia"/>
          <w:sz w:val="28"/>
          <w:szCs w:val="28"/>
        </w:rPr>
        <w:t>請求本會進行個案評鑑，本會決議如下：</w:t>
      </w:r>
    </w:p>
    <w:p w:rsidR="004A78D5" w:rsidRDefault="004A78D5" w:rsidP="0014657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主</w:t>
      </w:r>
      <w:r>
        <w:rPr>
          <w:rFonts w:ascii="標楷體" w:eastAsia="標楷體" w:hAnsi="標楷體"/>
          <w:sz w:val="28"/>
          <w:szCs w:val="28"/>
        </w:rPr>
        <w:t xml:space="preserve">   </w:t>
      </w:r>
      <w:r>
        <w:rPr>
          <w:rFonts w:ascii="標楷體" w:eastAsia="標楷體" w:hAnsi="標楷體" w:hint="eastAsia"/>
          <w:sz w:val="28"/>
          <w:szCs w:val="28"/>
        </w:rPr>
        <w:t>文</w:t>
      </w:r>
    </w:p>
    <w:p w:rsidR="004A78D5" w:rsidRDefault="004A78D5" w:rsidP="0014657B">
      <w:pPr>
        <w:rPr>
          <w:rFonts w:ascii="標楷體" w:eastAsia="標楷體" w:hAnsi="標楷體"/>
          <w:sz w:val="28"/>
          <w:szCs w:val="28"/>
        </w:rPr>
      </w:pPr>
      <w:r>
        <w:rPr>
          <w:rFonts w:ascii="標楷體" w:eastAsia="標楷體" w:hAnsi="標楷體" w:hint="eastAsia"/>
          <w:sz w:val="28"/>
          <w:szCs w:val="28"/>
        </w:rPr>
        <w:t>本件不付評鑑</w:t>
      </w:r>
      <w:r w:rsidR="00C67FB5">
        <w:rPr>
          <w:rFonts w:ascii="標楷體" w:eastAsia="標楷體" w:hAnsi="標楷體" w:hint="eastAsia"/>
          <w:sz w:val="28"/>
          <w:szCs w:val="28"/>
        </w:rPr>
        <w:t>。</w:t>
      </w:r>
    </w:p>
    <w:p w:rsidR="004A78D5" w:rsidRDefault="004A78D5" w:rsidP="0014657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理</w:t>
      </w:r>
      <w:r>
        <w:rPr>
          <w:rFonts w:ascii="標楷體" w:eastAsia="標楷體" w:hAnsi="標楷體"/>
          <w:sz w:val="28"/>
          <w:szCs w:val="28"/>
        </w:rPr>
        <w:t xml:space="preserve">   </w:t>
      </w:r>
      <w:r>
        <w:rPr>
          <w:rFonts w:ascii="標楷體" w:eastAsia="標楷體" w:hAnsi="標楷體" w:hint="eastAsia"/>
          <w:sz w:val="28"/>
          <w:szCs w:val="28"/>
        </w:rPr>
        <w:t>由</w:t>
      </w:r>
    </w:p>
    <w:p w:rsidR="004A78D5" w:rsidRDefault="004A78D5" w:rsidP="0002129B">
      <w:pPr>
        <w:pStyle w:val="a7"/>
        <w:numPr>
          <w:ilvl w:val="0"/>
          <w:numId w:val="1"/>
        </w:numPr>
      </w:pPr>
      <w:r w:rsidRPr="002108F6">
        <w:rPr>
          <w:rFonts w:hint="eastAsia"/>
        </w:rPr>
        <w:t>本件請求人財團法人民間司法改革基金會請求評鑑意旨略以：受評鑑檢察官</w:t>
      </w:r>
      <w:r>
        <w:rPr>
          <w:rFonts w:hint="eastAsia"/>
        </w:rPr>
        <w:t>原係臺灣新北地方法院檢察署主任檢察官，借調至最高法院檢察署特別偵查組辦事。</w:t>
      </w:r>
      <w:r w:rsidRPr="002108F6">
        <w:rPr>
          <w:rFonts w:hint="eastAsia"/>
        </w:rPr>
        <w:t>於</w:t>
      </w:r>
      <w:r>
        <w:t>97</w:t>
      </w:r>
      <w:r>
        <w:rPr>
          <w:rFonts w:hint="eastAsia"/>
        </w:rPr>
        <w:t>年間，負責偵辦前國安會秘書長</w:t>
      </w:r>
      <w:r w:rsidR="00EA7A85">
        <w:rPr>
          <w:rFonts w:hint="eastAsia"/>
        </w:rPr>
        <w:t>邱○○</w:t>
      </w:r>
      <w:r>
        <w:rPr>
          <w:rFonts w:hint="eastAsia"/>
        </w:rPr>
        <w:t>涉嫌違反貪污治罪條例案件，因該案案情涉及之「安亞專案」，乃屬國家機密保護法核定之機密事項，依國家機密保護法第</w:t>
      </w:r>
      <w:r>
        <w:t>25</w:t>
      </w:r>
      <w:r>
        <w:rPr>
          <w:rFonts w:hint="eastAsia"/>
        </w:rPr>
        <w:t>條規定，偵查內容、程序均不得公開，且依刑事訴訟法第</w:t>
      </w:r>
      <w:r>
        <w:t>245</w:t>
      </w:r>
      <w:r>
        <w:rPr>
          <w:rFonts w:hint="eastAsia"/>
        </w:rPr>
        <w:t>條第</w:t>
      </w:r>
      <w:r>
        <w:t>3</w:t>
      </w:r>
      <w:r>
        <w:rPr>
          <w:rFonts w:hint="eastAsia"/>
        </w:rPr>
        <w:t>項規定，偵查中因執行職務知悉事項，不得公開</w:t>
      </w:r>
      <w:bookmarkStart w:id="0" w:name="_GoBack"/>
      <w:bookmarkEnd w:id="0"/>
      <w:r>
        <w:rPr>
          <w:rFonts w:hint="eastAsia"/>
        </w:rPr>
        <w:t>或洩</w:t>
      </w:r>
      <w:r>
        <w:rPr>
          <w:rFonts w:hint="eastAsia"/>
        </w:rPr>
        <w:lastRenderedPageBreak/>
        <w:t>漏予執行法定職務必要範圍以外之人員，竟於</w:t>
      </w:r>
      <w:r>
        <w:t>97</w:t>
      </w:r>
      <w:r>
        <w:rPr>
          <w:rFonts w:hint="eastAsia"/>
        </w:rPr>
        <w:t>年</w:t>
      </w:r>
      <w:r>
        <w:t>11</w:t>
      </w:r>
      <w:r>
        <w:rPr>
          <w:rFonts w:hint="eastAsia"/>
        </w:rPr>
        <w:t>月</w:t>
      </w:r>
      <w:r>
        <w:t>5</w:t>
      </w:r>
      <w:r>
        <w:rPr>
          <w:rFonts w:hint="eastAsia"/>
        </w:rPr>
        <w:t>日壹週刊第</w:t>
      </w:r>
      <w:r>
        <w:t>389</w:t>
      </w:r>
      <w:r>
        <w:rPr>
          <w:rFonts w:hint="eastAsia"/>
        </w:rPr>
        <w:t>期出刊前，將其偵辦有關</w:t>
      </w:r>
      <w:r w:rsidR="00EA7A85">
        <w:rPr>
          <w:rFonts w:hint="eastAsia"/>
        </w:rPr>
        <w:t>邱○○</w:t>
      </w:r>
      <w:r>
        <w:rPr>
          <w:rFonts w:hint="eastAsia"/>
        </w:rPr>
        <w:t>涉嫌違反上開貪污案件偵訊內容，及安亞專案涉及機密外交專案相關國家機密事項、內容（包括該案涉及之外國人士姓名、身分職務、專案費用、金錢流向等有關具體資料），以及被告</w:t>
      </w:r>
      <w:r w:rsidR="00EA7A85">
        <w:rPr>
          <w:rFonts w:hint="eastAsia"/>
        </w:rPr>
        <w:t>邱○○</w:t>
      </w:r>
      <w:r>
        <w:rPr>
          <w:rFonts w:hint="eastAsia"/>
        </w:rPr>
        <w:t>於偵查中之陳述、檢調之偵查作為等偵查不公開事項，均以故意或有重大過失方式洩漏予上開壹週刊記者。</w:t>
      </w:r>
      <w:r>
        <w:t>97</w:t>
      </w:r>
      <w:r>
        <w:rPr>
          <w:rFonts w:hint="eastAsia"/>
        </w:rPr>
        <w:t>年</w:t>
      </w:r>
      <w:r>
        <w:t>11</w:t>
      </w:r>
      <w:r>
        <w:rPr>
          <w:rFonts w:hint="eastAsia"/>
        </w:rPr>
        <w:t>月</w:t>
      </w:r>
      <w:r>
        <w:t>6</w:t>
      </w:r>
      <w:r>
        <w:rPr>
          <w:rFonts w:hint="eastAsia"/>
        </w:rPr>
        <w:t>日出刊之壹週刊中，即獨家刊登「安亞專案</w:t>
      </w:r>
      <w:r>
        <w:t>5</w:t>
      </w:r>
      <w:r>
        <w:rPr>
          <w:rFonts w:hint="eastAsia"/>
        </w:rPr>
        <w:t>千萬元</w:t>
      </w:r>
      <w:r>
        <w:t xml:space="preserve">  </w:t>
      </w:r>
      <w:r>
        <w:rPr>
          <w:rFonts w:hint="eastAsia"/>
        </w:rPr>
        <w:t>揭發</w:t>
      </w:r>
      <w:r w:rsidR="00EA7A85">
        <w:rPr>
          <w:rFonts w:hint="eastAsia"/>
        </w:rPr>
        <w:t>邱○○</w:t>
      </w:r>
      <w:r>
        <w:rPr>
          <w:rFonts w:hint="eastAsia"/>
        </w:rPr>
        <w:t>買通</w:t>
      </w:r>
      <w:r>
        <w:t>WTO</w:t>
      </w:r>
      <w:r>
        <w:rPr>
          <w:rFonts w:hint="eastAsia"/>
        </w:rPr>
        <w:t>秘書長」專文報導，致安亞專案相關機密內容及特偵組偵辦該案之相關偵查消息外洩。受評鑑檢察官因故意或有重大過失洩漏國防機密及偵查中應秘密事項，顯有違反法官法第</w:t>
      </w:r>
      <w:r>
        <w:t>89</w:t>
      </w:r>
      <w:r>
        <w:rPr>
          <w:rFonts w:hint="eastAsia"/>
        </w:rPr>
        <w:t>條第</w:t>
      </w:r>
      <w:r>
        <w:t>4</w:t>
      </w:r>
      <w:r>
        <w:rPr>
          <w:rFonts w:hint="eastAsia"/>
        </w:rPr>
        <w:t>項第</w:t>
      </w:r>
      <w:r>
        <w:t>1</w:t>
      </w:r>
      <w:r>
        <w:rPr>
          <w:rFonts w:hint="eastAsia"/>
        </w:rPr>
        <w:t>款、第</w:t>
      </w:r>
      <w:r>
        <w:t>5</w:t>
      </w:r>
      <w:r>
        <w:rPr>
          <w:rFonts w:hint="eastAsia"/>
        </w:rPr>
        <w:t>款及第</w:t>
      </w:r>
      <w:r>
        <w:t>7</w:t>
      </w:r>
      <w:r>
        <w:rPr>
          <w:rFonts w:hint="eastAsia"/>
        </w:rPr>
        <w:t>款等應付個案評鑑事由，謹依法官法第</w:t>
      </w:r>
      <w:r>
        <w:t>89</w:t>
      </w:r>
      <w:r>
        <w:rPr>
          <w:rFonts w:hint="eastAsia"/>
        </w:rPr>
        <w:t>條第</w:t>
      </w:r>
      <w:r>
        <w:t>1</w:t>
      </w:r>
      <w:r>
        <w:rPr>
          <w:rFonts w:hint="eastAsia"/>
        </w:rPr>
        <w:t>項準用第</w:t>
      </w:r>
      <w:r>
        <w:t>35</w:t>
      </w:r>
      <w:r>
        <w:rPr>
          <w:rFonts w:hint="eastAsia"/>
        </w:rPr>
        <w:t>條第</w:t>
      </w:r>
      <w:r>
        <w:t>1</w:t>
      </w:r>
      <w:r>
        <w:rPr>
          <w:rFonts w:hint="eastAsia"/>
        </w:rPr>
        <w:t>項第</w:t>
      </w:r>
      <w:r>
        <w:t>4</w:t>
      </w:r>
      <w:r>
        <w:rPr>
          <w:rFonts w:hint="eastAsia"/>
        </w:rPr>
        <w:t>款之規定，請求對受評鑑檢察官進行個案評鑑等語。</w:t>
      </w:r>
    </w:p>
    <w:p w:rsidR="004A78D5" w:rsidRDefault="004A78D5" w:rsidP="0002129B">
      <w:pPr>
        <w:pStyle w:val="a7"/>
        <w:numPr>
          <w:ilvl w:val="0"/>
          <w:numId w:val="1"/>
        </w:numPr>
        <w:ind w:left="709" w:hanging="709"/>
      </w:pPr>
      <w:r w:rsidRPr="00E114A7">
        <w:rPr>
          <w:rFonts w:hint="eastAsia"/>
        </w:rPr>
        <w:t>按「法官個案評鑑之請求，應於</w:t>
      </w:r>
      <w:r w:rsidRPr="00E114A7">
        <w:t>2</w:t>
      </w:r>
      <w:r w:rsidRPr="00E114A7">
        <w:rPr>
          <w:rFonts w:hint="eastAsia"/>
        </w:rPr>
        <w:t>年內為之。」「</w:t>
      </w:r>
      <w:r w:rsidRPr="00E114A7">
        <w:rPr>
          <w:rFonts w:hint="eastAsia"/>
          <w:color w:val="000000"/>
        </w:rPr>
        <w:t>前項期間，無涉法官承辦個案者，自受評鑑事實終了之日起算，牽涉法官承辦個案者，自該案件辦理終結之日起算。</w:t>
      </w:r>
      <w:r w:rsidRPr="00E114A7">
        <w:rPr>
          <w:rFonts w:hint="eastAsia"/>
        </w:rPr>
        <w:t>」「個案評鑑事件之請求，有下列情形之一者，法官評鑑委員會應為不付評鑑之決議</w:t>
      </w:r>
      <w:r w:rsidRPr="00E114A7">
        <w:t>:</w:t>
      </w:r>
      <w:r w:rsidRPr="00E114A7">
        <w:rPr>
          <w:rFonts w:hint="eastAsia"/>
        </w:rPr>
        <w:t>二、個案評鑑事件之請求，逾前條所定期間。」法官法第</w:t>
      </w:r>
      <w:r w:rsidRPr="00E114A7">
        <w:t>36</w:t>
      </w:r>
      <w:r w:rsidRPr="00E114A7">
        <w:rPr>
          <w:rFonts w:hint="eastAsia"/>
        </w:rPr>
        <w:t>條第</w:t>
      </w:r>
      <w:r w:rsidRPr="00E114A7">
        <w:t>1</w:t>
      </w:r>
      <w:r w:rsidRPr="00E114A7">
        <w:rPr>
          <w:rFonts w:hint="eastAsia"/>
        </w:rPr>
        <w:t>項、第</w:t>
      </w:r>
      <w:r w:rsidRPr="00E114A7">
        <w:t>2</w:t>
      </w:r>
      <w:r w:rsidRPr="00E114A7">
        <w:rPr>
          <w:rFonts w:hint="eastAsia"/>
        </w:rPr>
        <w:t>項及第</w:t>
      </w:r>
      <w:r w:rsidRPr="00E114A7">
        <w:t>37</w:t>
      </w:r>
      <w:r w:rsidRPr="00E114A7">
        <w:rPr>
          <w:rFonts w:hint="eastAsia"/>
        </w:rPr>
        <w:t>條第</w:t>
      </w:r>
      <w:r w:rsidRPr="00E114A7">
        <w:t>2</w:t>
      </w:r>
      <w:r w:rsidRPr="00E114A7">
        <w:rPr>
          <w:rFonts w:hint="eastAsia"/>
        </w:rPr>
        <w:t>款分別定有明文，足見法官法對於受評鑑人是否應付評鑑期日之推算及逾期不付評鑑原則已予明定。又前開規定於檢察官亦準用之，法官法第</w:t>
      </w:r>
      <w:r w:rsidRPr="00E114A7">
        <w:t>89</w:t>
      </w:r>
      <w:r w:rsidRPr="00E114A7">
        <w:rPr>
          <w:rFonts w:hint="eastAsia"/>
        </w:rPr>
        <w:t>條第</w:t>
      </w:r>
      <w:r w:rsidRPr="00E114A7">
        <w:t>1</w:t>
      </w:r>
      <w:r w:rsidRPr="00E114A7">
        <w:rPr>
          <w:rFonts w:hint="eastAsia"/>
        </w:rPr>
        <w:t>項亦有明文。再者，法律不溯及既往為法律適用之基本原則，如認其事項有溯及適用之必要者，即應於施行法中明文規定，方能有所依據。而法官法施行細則就法官法第</w:t>
      </w:r>
      <w:r w:rsidRPr="00E114A7">
        <w:t>36</w:t>
      </w:r>
      <w:r w:rsidRPr="00E114A7">
        <w:rPr>
          <w:rFonts w:hint="eastAsia"/>
        </w:rPr>
        <w:t>條既未另定得溯及適用之明文，對照法官法第</w:t>
      </w:r>
      <w:r w:rsidRPr="00E114A7">
        <w:t>52</w:t>
      </w:r>
      <w:r w:rsidRPr="00E114A7">
        <w:rPr>
          <w:rFonts w:hint="eastAsia"/>
        </w:rPr>
        <w:t>條關於懲戒行使期日，於第</w:t>
      </w:r>
      <w:r w:rsidRPr="00E114A7">
        <w:t>1</w:t>
      </w:r>
      <w:r w:rsidRPr="00E114A7">
        <w:rPr>
          <w:rFonts w:hint="eastAsia"/>
        </w:rPr>
        <w:t>項但書明文規定：「但第</w:t>
      </w:r>
      <w:r w:rsidRPr="00E114A7">
        <w:t>30</w:t>
      </w:r>
      <w:r w:rsidRPr="00E114A7">
        <w:rPr>
          <w:rFonts w:hint="eastAsia"/>
        </w:rPr>
        <w:t>條第</w:t>
      </w:r>
      <w:r w:rsidRPr="00E114A7">
        <w:t>2</w:t>
      </w:r>
      <w:r w:rsidRPr="00E114A7">
        <w:rPr>
          <w:rFonts w:hint="eastAsia"/>
        </w:rPr>
        <w:t>項第</w:t>
      </w:r>
      <w:r w:rsidRPr="00E114A7">
        <w:t>1</w:t>
      </w:r>
      <w:r w:rsidRPr="00E114A7">
        <w:rPr>
          <w:rFonts w:hint="eastAsia"/>
        </w:rPr>
        <w:t>款情形，自依本法得付個案評鑑之日起算」，而同法第</w:t>
      </w:r>
      <w:r w:rsidRPr="00E114A7">
        <w:t>36</w:t>
      </w:r>
      <w:r w:rsidRPr="00E114A7">
        <w:rPr>
          <w:rFonts w:hint="eastAsia"/>
        </w:rPr>
        <w:t>條則無此規定，足見原立法目的就評鑑期限限制之規定，係為免評鑑事由逾相當期限，將使受評鑑人不易答辯，影響受評鑑人權益，故定有期限限制，然對於其起算日既未如同法第</w:t>
      </w:r>
      <w:r w:rsidRPr="00E114A7">
        <w:t>52</w:t>
      </w:r>
      <w:r w:rsidRPr="00E114A7">
        <w:rPr>
          <w:rFonts w:hint="eastAsia"/>
        </w:rPr>
        <w:t>條另有明文規定之例外，自應依法自案件辦理終結之日起算。本件受評鑑人所承辦案件（最高法院檢察署特偵組</w:t>
      </w:r>
      <w:r w:rsidRPr="00E114A7">
        <w:t>97</w:t>
      </w:r>
      <w:r w:rsidRPr="00E114A7">
        <w:rPr>
          <w:rFonts w:hint="eastAsia"/>
        </w:rPr>
        <w:t>年度特偵字第</w:t>
      </w:r>
      <w:r w:rsidRPr="00E114A7">
        <w:t>20</w:t>
      </w:r>
      <w:r w:rsidRPr="00E114A7">
        <w:rPr>
          <w:rFonts w:hint="eastAsia"/>
        </w:rPr>
        <w:t>號，</w:t>
      </w:r>
      <w:r w:rsidRPr="00E114A7">
        <w:t>98</w:t>
      </w:r>
      <w:r w:rsidRPr="00E114A7">
        <w:rPr>
          <w:rFonts w:hint="eastAsia"/>
        </w:rPr>
        <w:t>年度特偵字第</w:t>
      </w:r>
      <w:r w:rsidRPr="00E114A7">
        <w:t>8</w:t>
      </w:r>
      <w:r w:rsidRPr="00E114A7">
        <w:rPr>
          <w:rFonts w:hint="eastAsia"/>
        </w:rPr>
        <w:t>號），係於</w:t>
      </w:r>
      <w:r w:rsidRPr="00E114A7">
        <w:t>98</w:t>
      </w:r>
      <w:r w:rsidRPr="00E114A7">
        <w:rPr>
          <w:rFonts w:hint="eastAsia"/>
        </w:rPr>
        <w:t>年</w:t>
      </w:r>
      <w:r w:rsidRPr="00E114A7">
        <w:t>9</w:t>
      </w:r>
      <w:r w:rsidRPr="00E114A7">
        <w:rPr>
          <w:rFonts w:hint="eastAsia"/>
        </w:rPr>
        <w:t>月</w:t>
      </w:r>
      <w:r w:rsidRPr="00E114A7">
        <w:t>22</w:t>
      </w:r>
      <w:r w:rsidRPr="00E114A7">
        <w:rPr>
          <w:rFonts w:hint="eastAsia"/>
        </w:rPr>
        <w:t>日偵查終結提起公訴，臺灣臺北地方法院於</w:t>
      </w:r>
      <w:r w:rsidRPr="00E114A7">
        <w:t>100</w:t>
      </w:r>
      <w:r w:rsidRPr="00E114A7">
        <w:rPr>
          <w:rFonts w:hint="eastAsia"/>
        </w:rPr>
        <w:t>年</w:t>
      </w:r>
      <w:r w:rsidRPr="00E114A7">
        <w:t>8</w:t>
      </w:r>
      <w:r w:rsidRPr="00E114A7">
        <w:rPr>
          <w:rFonts w:hint="eastAsia"/>
        </w:rPr>
        <w:t>月</w:t>
      </w:r>
      <w:r w:rsidRPr="00E114A7">
        <w:t>30</w:t>
      </w:r>
      <w:r w:rsidRPr="00E114A7">
        <w:rPr>
          <w:rFonts w:hint="eastAsia"/>
        </w:rPr>
        <w:t>日為第一審判決，經上訴後，臺灣高等法院於</w:t>
      </w:r>
      <w:r w:rsidRPr="00E114A7">
        <w:t>101</w:t>
      </w:r>
      <w:r w:rsidRPr="00E114A7">
        <w:rPr>
          <w:rFonts w:hint="eastAsia"/>
        </w:rPr>
        <w:t>年</w:t>
      </w:r>
      <w:r w:rsidRPr="00E114A7">
        <w:t>6</w:t>
      </w:r>
      <w:r w:rsidRPr="00E114A7">
        <w:rPr>
          <w:rFonts w:hint="eastAsia"/>
        </w:rPr>
        <w:t>月</w:t>
      </w:r>
      <w:r w:rsidRPr="00E114A7">
        <w:t>20</w:t>
      </w:r>
      <w:r w:rsidRPr="00E114A7">
        <w:rPr>
          <w:rFonts w:hint="eastAsia"/>
        </w:rPr>
        <w:t>日為第二審判決，全案並於</w:t>
      </w:r>
      <w:r w:rsidRPr="00E114A7">
        <w:t>101</w:t>
      </w:r>
      <w:r w:rsidRPr="00E114A7">
        <w:rPr>
          <w:rFonts w:hint="eastAsia"/>
        </w:rPr>
        <w:t>年</w:t>
      </w:r>
      <w:r w:rsidRPr="00E114A7">
        <w:t>7</w:t>
      </w:r>
      <w:r w:rsidRPr="00E114A7">
        <w:rPr>
          <w:rFonts w:hint="eastAsia"/>
        </w:rPr>
        <w:t>月</w:t>
      </w:r>
      <w:r w:rsidRPr="00E114A7">
        <w:t>16</w:t>
      </w:r>
      <w:r w:rsidRPr="00E114A7">
        <w:rPr>
          <w:rFonts w:hint="eastAsia"/>
        </w:rPr>
        <w:t>日確定，有最高法院檢察署</w:t>
      </w:r>
      <w:r w:rsidRPr="00E114A7">
        <w:t>103</w:t>
      </w:r>
      <w:r w:rsidRPr="00E114A7">
        <w:rPr>
          <w:rFonts w:hint="eastAsia"/>
        </w:rPr>
        <w:t>年</w:t>
      </w:r>
      <w:r w:rsidRPr="00E114A7">
        <w:t>8</w:t>
      </w:r>
      <w:r w:rsidRPr="00E114A7">
        <w:rPr>
          <w:rFonts w:hint="eastAsia"/>
        </w:rPr>
        <w:t>月</w:t>
      </w:r>
      <w:r w:rsidRPr="00E114A7">
        <w:t>7</w:t>
      </w:r>
      <w:r w:rsidRPr="00E114A7">
        <w:rPr>
          <w:rFonts w:hint="eastAsia"/>
        </w:rPr>
        <w:t>日臺特荒</w:t>
      </w:r>
      <w:r w:rsidRPr="00E114A7">
        <w:t>97</w:t>
      </w:r>
      <w:r w:rsidRPr="00E114A7">
        <w:rPr>
          <w:rFonts w:hint="eastAsia"/>
        </w:rPr>
        <w:t>特偵</w:t>
      </w:r>
      <w:r w:rsidRPr="00E114A7">
        <w:t>20</w:t>
      </w:r>
      <w:r w:rsidRPr="00E114A7">
        <w:rPr>
          <w:rFonts w:hint="eastAsia"/>
        </w:rPr>
        <w:t>字第</w:t>
      </w:r>
      <w:r w:rsidRPr="00E114A7">
        <w:t>103000856</w:t>
      </w:r>
      <w:r w:rsidRPr="00E114A7">
        <w:rPr>
          <w:rFonts w:hint="eastAsia"/>
        </w:rPr>
        <w:t>號書函在卷可稽，則本件請求評鑑人請求評鑑之</w:t>
      </w:r>
      <w:r w:rsidRPr="00E114A7">
        <w:t>2</w:t>
      </w:r>
      <w:r w:rsidRPr="00E114A7">
        <w:rPr>
          <w:rFonts w:hint="eastAsia"/>
        </w:rPr>
        <w:t>年期間，應自</w:t>
      </w:r>
      <w:r w:rsidRPr="00E114A7">
        <w:t>98</w:t>
      </w:r>
      <w:r w:rsidRPr="00E114A7">
        <w:rPr>
          <w:rFonts w:hint="eastAsia"/>
        </w:rPr>
        <w:t>年</w:t>
      </w:r>
      <w:r w:rsidRPr="00E114A7">
        <w:t>9</w:t>
      </w:r>
      <w:r w:rsidRPr="00E114A7">
        <w:rPr>
          <w:rFonts w:hint="eastAsia"/>
        </w:rPr>
        <w:t>月</w:t>
      </w:r>
      <w:r w:rsidRPr="00E114A7">
        <w:t>22</w:t>
      </w:r>
      <w:r w:rsidRPr="00E114A7">
        <w:rPr>
          <w:rFonts w:hint="eastAsia"/>
        </w:rPr>
        <w:t>日本案偵查終結提起公訴之日起算，至</w:t>
      </w:r>
      <w:r w:rsidRPr="00E114A7">
        <w:t>101</w:t>
      </w:r>
      <w:r w:rsidRPr="00E114A7">
        <w:rPr>
          <w:rFonts w:hint="eastAsia"/>
        </w:rPr>
        <w:t>年</w:t>
      </w:r>
      <w:r w:rsidRPr="00E114A7">
        <w:t>9</w:t>
      </w:r>
      <w:r w:rsidRPr="00E114A7">
        <w:rPr>
          <w:rFonts w:hint="eastAsia"/>
        </w:rPr>
        <w:t>月</w:t>
      </w:r>
      <w:r w:rsidRPr="00E114A7">
        <w:t>22</w:t>
      </w:r>
      <w:r w:rsidRPr="00E114A7">
        <w:rPr>
          <w:rFonts w:hint="eastAsia"/>
        </w:rPr>
        <w:t>日即已屆滿。本件請求評鑑人係於</w:t>
      </w:r>
      <w:r w:rsidRPr="00E114A7">
        <w:t>103</w:t>
      </w:r>
      <w:r w:rsidRPr="00E114A7">
        <w:rPr>
          <w:rFonts w:hint="eastAsia"/>
        </w:rPr>
        <w:t>年</w:t>
      </w:r>
      <w:r w:rsidRPr="00E114A7">
        <w:t>6</w:t>
      </w:r>
      <w:r w:rsidRPr="00E114A7">
        <w:rPr>
          <w:rFonts w:hint="eastAsia"/>
        </w:rPr>
        <w:t>月</w:t>
      </w:r>
      <w:r w:rsidRPr="00E114A7">
        <w:t>19</w:t>
      </w:r>
      <w:r w:rsidRPr="00E114A7">
        <w:rPr>
          <w:rFonts w:hint="eastAsia"/>
        </w:rPr>
        <w:t>日始請求評鑑，顯已逾期，本件自應為不付評鑑之決議</w:t>
      </w:r>
      <w:r>
        <w:rPr>
          <w:rFonts w:hint="eastAsia"/>
        </w:rPr>
        <w:t>。</w:t>
      </w:r>
    </w:p>
    <w:p w:rsidR="004A78D5" w:rsidRPr="00E114A7" w:rsidRDefault="004A78D5" w:rsidP="0002129B">
      <w:pPr>
        <w:pStyle w:val="a7"/>
        <w:numPr>
          <w:ilvl w:val="0"/>
          <w:numId w:val="1"/>
        </w:numPr>
        <w:ind w:left="709" w:hanging="709"/>
      </w:pPr>
      <w:r w:rsidRPr="00E114A7">
        <w:rPr>
          <w:rFonts w:hint="eastAsia"/>
        </w:rPr>
        <w:t>請求人雖另提出補充理由書</w:t>
      </w:r>
      <w:r>
        <w:rPr>
          <w:rFonts w:hint="eastAsia"/>
        </w:rPr>
        <w:t>補充理由</w:t>
      </w:r>
      <w:r w:rsidRPr="00E114A7">
        <w:rPr>
          <w:rFonts w:hint="eastAsia"/>
        </w:rPr>
        <w:t>略以：本案並未逾法官法第</w:t>
      </w:r>
      <w:r w:rsidRPr="00E114A7">
        <w:t>89</w:t>
      </w:r>
      <w:r w:rsidRPr="00E114A7">
        <w:rPr>
          <w:rFonts w:hint="eastAsia"/>
        </w:rPr>
        <w:t>條第</w:t>
      </w:r>
      <w:r w:rsidRPr="00E114A7">
        <w:t>1</w:t>
      </w:r>
      <w:r w:rsidRPr="00E114A7">
        <w:rPr>
          <w:rFonts w:hint="eastAsia"/>
        </w:rPr>
        <w:t>項準用第</w:t>
      </w:r>
      <w:r w:rsidRPr="00E114A7">
        <w:t>36</w:t>
      </w:r>
      <w:r w:rsidRPr="00E114A7">
        <w:rPr>
          <w:rFonts w:hint="eastAsia"/>
        </w:rPr>
        <w:t>條所定之請求時效，不論依法官法第</w:t>
      </w:r>
      <w:r w:rsidRPr="00E114A7">
        <w:t>36</w:t>
      </w:r>
      <w:r w:rsidRPr="00E114A7">
        <w:rPr>
          <w:rFonts w:hint="eastAsia"/>
        </w:rPr>
        <w:t>條但書之規定，或法官法第</w:t>
      </w:r>
      <w:r w:rsidRPr="00E114A7">
        <w:t>36</w:t>
      </w:r>
      <w:r w:rsidRPr="00E114A7">
        <w:rPr>
          <w:rFonts w:hint="eastAsia"/>
        </w:rPr>
        <w:t>條本文放寬「自案件辦理終結之日」之解釋，均應自本案判決確定之</w:t>
      </w:r>
      <w:r w:rsidRPr="00E114A7">
        <w:t>101</w:t>
      </w:r>
      <w:r w:rsidRPr="00E114A7">
        <w:rPr>
          <w:rFonts w:hint="eastAsia"/>
        </w:rPr>
        <w:t>年</w:t>
      </w:r>
      <w:r w:rsidRPr="00E114A7">
        <w:t>7</w:t>
      </w:r>
      <w:r w:rsidRPr="00E114A7">
        <w:rPr>
          <w:rFonts w:hint="eastAsia"/>
        </w:rPr>
        <w:t>月</w:t>
      </w:r>
      <w:r w:rsidRPr="00E114A7">
        <w:t>7</w:t>
      </w:r>
      <w:r w:rsidRPr="00E114A7">
        <w:rPr>
          <w:rFonts w:hint="eastAsia"/>
        </w:rPr>
        <w:t>日（應為</w:t>
      </w:r>
      <w:r w:rsidRPr="00E114A7">
        <w:t>16</w:t>
      </w:r>
      <w:r w:rsidRPr="00E114A7">
        <w:rPr>
          <w:rFonts w:hint="eastAsia"/>
        </w:rPr>
        <w:t>日）起算</w:t>
      </w:r>
      <w:r w:rsidRPr="00E114A7">
        <w:t>2</w:t>
      </w:r>
      <w:r w:rsidRPr="00E114A7">
        <w:rPr>
          <w:rFonts w:hint="eastAsia"/>
        </w:rPr>
        <w:t>年之請求時效，是本會於</w:t>
      </w:r>
      <w:r w:rsidRPr="00E114A7">
        <w:t>103</w:t>
      </w:r>
      <w:r w:rsidRPr="00E114A7">
        <w:rPr>
          <w:rFonts w:hint="eastAsia"/>
        </w:rPr>
        <w:t>年</w:t>
      </w:r>
      <w:r w:rsidRPr="00E114A7">
        <w:t>6</w:t>
      </w:r>
      <w:r w:rsidRPr="00E114A7">
        <w:rPr>
          <w:rFonts w:hint="eastAsia"/>
        </w:rPr>
        <w:t>月</w:t>
      </w:r>
      <w:r w:rsidRPr="00E114A7">
        <w:t>19</w:t>
      </w:r>
      <w:r w:rsidRPr="00E114A7">
        <w:rPr>
          <w:rFonts w:hint="eastAsia"/>
        </w:rPr>
        <w:t>日請求評鑑，並未逾請求時效等語</w:t>
      </w:r>
      <w:r>
        <w:rPr>
          <w:rFonts w:hint="eastAsia"/>
        </w:rPr>
        <w:t>。</w:t>
      </w:r>
      <w:r w:rsidRPr="00E114A7">
        <w:rPr>
          <w:rFonts w:hint="eastAsia"/>
        </w:rPr>
        <w:t>惟按</w:t>
      </w:r>
      <w:r>
        <w:rPr>
          <w:rFonts w:hint="eastAsia"/>
        </w:rPr>
        <w:t>法官法第</w:t>
      </w:r>
      <w:r>
        <w:t>36</w:t>
      </w:r>
      <w:r>
        <w:rPr>
          <w:rFonts w:hint="eastAsia"/>
        </w:rPr>
        <w:t>條第</w:t>
      </w:r>
      <w:r>
        <w:t>2</w:t>
      </w:r>
      <w:r>
        <w:rPr>
          <w:rFonts w:hint="eastAsia"/>
        </w:rPr>
        <w:t>項所稱：「前項期間，無涉法官承辦個案者，自受評鑑事實終了之日起算，牽涉法官承辦個案者，自該案件辦理終結之日起算。」依同法第</w:t>
      </w:r>
      <w:r>
        <w:t>89</w:t>
      </w:r>
      <w:r>
        <w:rPr>
          <w:rFonts w:hint="eastAsia"/>
        </w:rPr>
        <w:t>條第</w:t>
      </w:r>
      <w:r>
        <w:t>1</w:t>
      </w:r>
      <w:r>
        <w:rPr>
          <w:rFonts w:hint="eastAsia"/>
        </w:rPr>
        <w:t>項檢察官準用法官法之結果，所謂「該案件辦理終結」者，係指檢察官辦理之案件「偵查程序或辦理程序終結」而言，包括起訴、不起訴、緩起訴、提出上訴書及其他依法簽結（如案件因不起訴處分確定，另經告發或移送，而查無刑事訴訟法第</w:t>
      </w:r>
      <w:r>
        <w:t>260</w:t>
      </w:r>
      <w:r>
        <w:rPr>
          <w:rFonts w:hint="eastAsia"/>
        </w:rPr>
        <w:t>條再行起訴之情形、被告因藏匿而發布通緝、他字案查無犯罪事實、相驗案件查無他殺嫌疑）等案件已於非繫屬中之情形，並不包括審判程序是否終結，實務上亦均採認此一見解（參見</w:t>
      </w:r>
      <w:r>
        <w:t>103</w:t>
      </w:r>
      <w:r>
        <w:rPr>
          <w:rFonts w:hint="eastAsia"/>
        </w:rPr>
        <w:t>年度檢評字第</w:t>
      </w:r>
      <w:r>
        <w:t>001</w:t>
      </w:r>
      <w:r>
        <w:rPr>
          <w:rFonts w:hint="eastAsia"/>
        </w:rPr>
        <w:t>、</w:t>
      </w:r>
      <w:r>
        <w:t>002</w:t>
      </w:r>
      <w:r>
        <w:rPr>
          <w:rFonts w:hint="eastAsia"/>
        </w:rPr>
        <w:t>、</w:t>
      </w:r>
      <w:r>
        <w:t>003</w:t>
      </w:r>
      <w:r>
        <w:rPr>
          <w:rFonts w:hint="eastAsia"/>
        </w:rPr>
        <w:t>、</w:t>
      </w:r>
      <w:r>
        <w:t>005</w:t>
      </w:r>
      <w:r>
        <w:rPr>
          <w:rFonts w:hint="eastAsia"/>
        </w:rPr>
        <w:t>、</w:t>
      </w:r>
      <w:r>
        <w:t>006</w:t>
      </w:r>
      <w:r>
        <w:rPr>
          <w:rFonts w:hint="eastAsia"/>
        </w:rPr>
        <w:t>等號決議書）。本案既經偵查終結提起公訴，檢察官辦案程序即已終結，時效期間之起算日應自提起公訴之</w:t>
      </w:r>
      <w:r>
        <w:t>98</w:t>
      </w:r>
      <w:r>
        <w:rPr>
          <w:rFonts w:hint="eastAsia"/>
        </w:rPr>
        <w:t>年</w:t>
      </w:r>
      <w:r>
        <w:t>9</w:t>
      </w:r>
      <w:r>
        <w:rPr>
          <w:rFonts w:hint="eastAsia"/>
        </w:rPr>
        <w:t>月</w:t>
      </w:r>
      <w:r>
        <w:t>22</w:t>
      </w:r>
      <w:r>
        <w:rPr>
          <w:rFonts w:hint="eastAsia"/>
        </w:rPr>
        <w:t>日翌日起算，請求人主張「起訴之案件，所謂辦理終結，應放寬解釋為自判決確定時起算」云云，與上開規定不合，尚不足採。又法官法第</w:t>
      </w:r>
      <w:r>
        <w:t>89</w:t>
      </w:r>
      <w:r>
        <w:rPr>
          <w:rFonts w:hint="eastAsia"/>
        </w:rPr>
        <w:t>條第</w:t>
      </w:r>
      <w:r>
        <w:t>4</w:t>
      </w:r>
      <w:r>
        <w:rPr>
          <w:rFonts w:hint="eastAsia"/>
        </w:rPr>
        <w:t>項第</w:t>
      </w:r>
      <w:r>
        <w:t>1</w:t>
      </w:r>
      <w:r>
        <w:rPr>
          <w:rFonts w:hint="eastAsia"/>
        </w:rPr>
        <w:t>款關於檢察官應付個案評鑑之規定：「裁判確定後或自第一審繫屬日起已逾</w:t>
      </w:r>
      <w:r>
        <w:t>6</w:t>
      </w:r>
      <w:r>
        <w:rPr>
          <w:rFonts w:hint="eastAsia"/>
        </w:rPr>
        <w:t>年未能裁判確定之案件、不起訴處分或緩起訴處分確定之案件，有事實足認因故意或重大過失，致有明顯重大違誤，而嚴重侵害人民權益者。」其內容雖係與法官法第</w:t>
      </w:r>
      <w:r>
        <w:t>36</w:t>
      </w:r>
      <w:r>
        <w:rPr>
          <w:rFonts w:hint="eastAsia"/>
        </w:rPr>
        <w:t>條第</w:t>
      </w:r>
      <w:r>
        <w:t>2</w:t>
      </w:r>
      <w:r>
        <w:rPr>
          <w:rFonts w:hint="eastAsia"/>
        </w:rPr>
        <w:t>項但書為相類之規定，惟本件請求人認受評鑑檢察官於偵辦案件中，有洩密及違反偵查不公開情事，核屬涉嫌違反法官法第</w:t>
      </w:r>
      <w:r>
        <w:t>89</w:t>
      </w:r>
      <w:r>
        <w:rPr>
          <w:rFonts w:hint="eastAsia"/>
        </w:rPr>
        <w:t>條第</w:t>
      </w:r>
      <w:r>
        <w:t>4</w:t>
      </w:r>
      <w:r>
        <w:rPr>
          <w:rFonts w:hint="eastAsia"/>
        </w:rPr>
        <w:t>項第</w:t>
      </w:r>
      <w:r>
        <w:t>5</w:t>
      </w:r>
      <w:r>
        <w:rPr>
          <w:rFonts w:hint="eastAsia"/>
        </w:rPr>
        <w:t>款「嚴重違反偵查不公開等辦案程序規定或職務規定，情節重大」之規定，尚非屬同條項第</w:t>
      </w:r>
      <w:r>
        <w:t>1</w:t>
      </w:r>
      <w:r w:rsidR="00C67FB5">
        <w:rPr>
          <w:rFonts w:hint="eastAsia"/>
        </w:rPr>
        <w:t>款之</w:t>
      </w:r>
      <w:r>
        <w:rPr>
          <w:rFonts w:hint="eastAsia"/>
        </w:rPr>
        <w:t>應付個案評鑑情事，個案評鑑之</w:t>
      </w:r>
      <w:r>
        <w:t>2</w:t>
      </w:r>
      <w:r>
        <w:rPr>
          <w:rFonts w:hint="eastAsia"/>
        </w:rPr>
        <w:t>年時效期間，仍無適用自「裁判確定時」起算之餘地。請求人補充理由書之法律上意見容非確論，難認可採，併此敘明。</w:t>
      </w:r>
    </w:p>
    <w:p w:rsidR="004A78D5" w:rsidRPr="00E114A7" w:rsidRDefault="004A78D5" w:rsidP="0002129B">
      <w:pPr>
        <w:pStyle w:val="a7"/>
        <w:numPr>
          <w:ilvl w:val="0"/>
          <w:numId w:val="1"/>
        </w:numPr>
        <w:ind w:left="709" w:hanging="709"/>
      </w:pPr>
      <w:r w:rsidRPr="00E114A7">
        <w:rPr>
          <w:rFonts w:hint="eastAsia"/>
        </w:rPr>
        <w:t>據上論結，應依法官法第</w:t>
      </w:r>
      <w:r w:rsidRPr="00E114A7">
        <w:t>89</w:t>
      </w:r>
      <w:r w:rsidRPr="00E114A7">
        <w:rPr>
          <w:rFonts w:hint="eastAsia"/>
        </w:rPr>
        <w:t>條第</w:t>
      </w:r>
      <w:r w:rsidRPr="00E114A7">
        <w:t>1</w:t>
      </w:r>
      <w:r w:rsidRPr="00E114A7">
        <w:rPr>
          <w:rFonts w:hint="eastAsia"/>
        </w:rPr>
        <w:t>項、第</w:t>
      </w:r>
      <w:r w:rsidRPr="00E114A7">
        <w:t>37</w:t>
      </w:r>
      <w:r w:rsidRPr="00E114A7">
        <w:rPr>
          <w:rFonts w:hint="eastAsia"/>
        </w:rPr>
        <w:t>條第</w:t>
      </w:r>
      <w:r w:rsidRPr="00E114A7">
        <w:t>2</w:t>
      </w:r>
      <w:r w:rsidRPr="00E114A7">
        <w:rPr>
          <w:rFonts w:hint="eastAsia"/>
        </w:rPr>
        <w:t>款，決議如主文。</w:t>
      </w:r>
    </w:p>
    <w:p w:rsidR="004A78D5" w:rsidRDefault="004A78D5" w:rsidP="0014657B">
      <w:pPr>
        <w:spacing w:line="680" w:lineRule="exact"/>
        <w:rPr>
          <w:rFonts w:ascii="標楷體" w:eastAsia="標楷體" w:hAnsi="標楷體"/>
          <w:sz w:val="28"/>
          <w:szCs w:val="28"/>
        </w:rPr>
      </w:pPr>
    </w:p>
    <w:p w:rsidR="004A78D5" w:rsidRDefault="004A78D5" w:rsidP="0014657B">
      <w:pPr>
        <w:spacing w:line="680" w:lineRule="exact"/>
        <w:rPr>
          <w:rFonts w:ascii="標楷體" w:eastAsia="標楷體" w:hAnsi="標楷體"/>
          <w:sz w:val="28"/>
          <w:szCs w:val="28"/>
        </w:rPr>
      </w:pPr>
      <w:r>
        <w:rPr>
          <w:rFonts w:ascii="標楷體" w:eastAsia="標楷體" w:hAnsi="標楷體" w:hint="eastAsia"/>
          <w:sz w:val="28"/>
          <w:szCs w:val="28"/>
        </w:rPr>
        <w:t xml:space="preserve">中　　華　　民　　國　　</w:t>
      </w:r>
      <w:r>
        <w:rPr>
          <w:rFonts w:ascii="標楷體" w:eastAsia="標楷體" w:hAnsi="標楷體"/>
          <w:sz w:val="28"/>
          <w:szCs w:val="28"/>
        </w:rPr>
        <w:t xml:space="preserve"> 103</w:t>
      </w:r>
      <w:r>
        <w:rPr>
          <w:rFonts w:ascii="標楷體" w:eastAsia="標楷體" w:hAnsi="標楷體" w:hint="eastAsia"/>
          <w:sz w:val="28"/>
          <w:szCs w:val="28"/>
        </w:rPr>
        <w:t xml:space="preserve">　　年　　</w:t>
      </w:r>
      <w:r>
        <w:rPr>
          <w:rFonts w:ascii="標楷體" w:eastAsia="標楷體" w:hAnsi="標楷體"/>
          <w:sz w:val="28"/>
          <w:szCs w:val="28"/>
        </w:rPr>
        <w:t xml:space="preserve"> 9</w:t>
      </w:r>
      <w:r>
        <w:rPr>
          <w:rFonts w:ascii="標楷體" w:eastAsia="標楷體" w:hAnsi="標楷體" w:hint="eastAsia"/>
          <w:sz w:val="28"/>
          <w:szCs w:val="28"/>
        </w:rPr>
        <w:t xml:space="preserve">　　月　</w:t>
      </w:r>
      <w:r>
        <w:rPr>
          <w:rFonts w:ascii="標楷體" w:eastAsia="標楷體" w:hAnsi="標楷體"/>
          <w:sz w:val="28"/>
          <w:szCs w:val="28"/>
        </w:rPr>
        <w:t xml:space="preserve">  29    </w:t>
      </w:r>
      <w:r>
        <w:rPr>
          <w:rFonts w:ascii="標楷體" w:eastAsia="標楷體" w:hAnsi="標楷體" w:hint="eastAsia"/>
          <w:sz w:val="28"/>
          <w:szCs w:val="28"/>
        </w:rPr>
        <w:t>日</w:t>
      </w:r>
    </w:p>
    <w:p w:rsidR="004A78D5" w:rsidRDefault="004A78D5" w:rsidP="0014657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檢察官評鑑委員會</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主</w:t>
      </w:r>
      <w:r>
        <w:rPr>
          <w:rFonts w:ascii="標楷體" w:eastAsia="標楷體" w:hAnsi="標楷體"/>
          <w:sz w:val="28"/>
          <w:szCs w:val="28"/>
        </w:rPr>
        <w:t xml:space="preserve"> </w:t>
      </w:r>
      <w:r>
        <w:rPr>
          <w:rFonts w:ascii="標楷體" w:eastAsia="標楷體" w:hAnsi="標楷體" w:hint="eastAsia"/>
          <w:sz w:val="28"/>
          <w:szCs w:val="28"/>
        </w:rPr>
        <w:t>席</w:t>
      </w: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朱</w:t>
      </w:r>
      <w:r>
        <w:rPr>
          <w:rFonts w:ascii="標楷體" w:eastAsia="標楷體" w:hAnsi="標楷體"/>
          <w:sz w:val="28"/>
          <w:szCs w:val="28"/>
        </w:rPr>
        <w:t xml:space="preserve">      </w:t>
      </w:r>
      <w:r>
        <w:rPr>
          <w:rFonts w:ascii="標楷體" w:eastAsia="標楷體" w:hAnsi="標楷體" w:hint="eastAsia"/>
          <w:sz w:val="28"/>
          <w:szCs w:val="28"/>
        </w:rPr>
        <w:t>楠</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吳</w:t>
      </w:r>
      <w:r>
        <w:rPr>
          <w:rFonts w:ascii="標楷體" w:eastAsia="標楷體" w:hAnsi="標楷體"/>
          <w:sz w:val="28"/>
          <w:szCs w:val="28"/>
        </w:rPr>
        <w:t xml:space="preserve">  </w:t>
      </w:r>
      <w:r>
        <w:rPr>
          <w:rFonts w:ascii="標楷體" w:eastAsia="標楷體" w:hAnsi="標楷體" w:hint="eastAsia"/>
          <w:sz w:val="28"/>
          <w:szCs w:val="28"/>
        </w:rPr>
        <w:t>光</w:t>
      </w:r>
      <w:r>
        <w:rPr>
          <w:rFonts w:ascii="標楷體" w:eastAsia="標楷體" w:hAnsi="標楷體"/>
          <w:sz w:val="28"/>
          <w:szCs w:val="28"/>
        </w:rPr>
        <w:t xml:space="preserve">  </w:t>
      </w:r>
      <w:r>
        <w:rPr>
          <w:rFonts w:ascii="標楷體" w:eastAsia="標楷體" w:hAnsi="標楷體" w:hint="eastAsia"/>
          <w:sz w:val="28"/>
          <w:szCs w:val="28"/>
        </w:rPr>
        <w:t>陸</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何</w:t>
      </w:r>
      <w:r>
        <w:rPr>
          <w:rFonts w:ascii="標楷體" w:eastAsia="標楷體" w:hAnsi="標楷體"/>
          <w:sz w:val="28"/>
          <w:szCs w:val="28"/>
        </w:rPr>
        <w:t xml:space="preserve">  </w:t>
      </w:r>
      <w:r>
        <w:rPr>
          <w:rFonts w:ascii="標楷體" w:eastAsia="標楷體" w:hAnsi="標楷體" w:hint="eastAsia"/>
          <w:sz w:val="28"/>
          <w:szCs w:val="28"/>
        </w:rPr>
        <w:t>明</w:t>
      </w:r>
      <w:r>
        <w:rPr>
          <w:rFonts w:ascii="標楷體" w:eastAsia="標楷體" w:hAnsi="標楷體"/>
          <w:sz w:val="28"/>
          <w:szCs w:val="28"/>
        </w:rPr>
        <w:t xml:space="preserve">  </w:t>
      </w:r>
      <w:r>
        <w:rPr>
          <w:rFonts w:ascii="標楷體" w:eastAsia="標楷體" w:hAnsi="標楷體" w:hint="eastAsia"/>
          <w:sz w:val="28"/>
          <w:szCs w:val="28"/>
        </w:rPr>
        <w:t>楨</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張</w:t>
      </w:r>
      <w:r>
        <w:rPr>
          <w:rFonts w:ascii="標楷體" w:eastAsia="標楷體" w:hAnsi="標楷體"/>
          <w:sz w:val="28"/>
          <w:szCs w:val="28"/>
        </w:rPr>
        <w:t xml:space="preserve">  </w:t>
      </w:r>
      <w:r>
        <w:rPr>
          <w:rFonts w:ascii="標楷體" w:eastAsia="標楷體" w:hAnsi="標楷體" w:hint="eastAsia"/>
          <w:sz w:val="28"/>
          <w:szCs w:val="28"/>
        </w:rPr>
        <w:t>麗</w:t>
      </w:r>
      <w:r>
        <w:rPr>
          <w:rFonts w:ascii="標楷體" w:eastAsia="標楷體" w:hAnsi="標楷體"/>
          <w:sz w:val="28"/>
          <w:szCs w:val="28"/>
        </w:rPr>
        <w:t xml:space="preserve">  </w:t>
      </w:r>
      <w:r>
        <w:rPr>
          <w:rFonts w:ascii="標楷體" w:eastAsia="標楷體" w:hAnsi="標楷體" w:hint="eastAsia"/>
          <w:sz w:val="28"/>
          <w:szCs w:val="28"/>
        </w:rPr>
        <w:t>卿</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詹</w:t>
      </w:r>
      <w:r>
        <w:rPr>
          <w:rFonts w:ascii="標楷體" w:eastAsia="標楷體" w:hAnsi="標楷體"/>
          <w:sz w:val="28"/>
          <w:szCs w:val="28"/>
        </w:rPr>
        <w:t xml:space="preserve">  </w:t>
      </w:r>
      <w:r>
        <w:rPr>
          <w:rFonts w:ascii="標楷體" w:eastAsia="標楷體" w:hAnsi="標楷體" w:hint="eastAsia"/>
          <w:sz w:val="28"/>
          <w:szCs w:val="28"/>
        </w:rPr>
        <w:t>森</w:t>
      </w:r>
      <w:r>
        <w:rPr>
          <w:rFonts w:ascii="標楷體" w:eastAsia="標楷體" w:hAnsi="標楷體"/>
          <w:sz w:val="28"/>
          <w:szCs w:val="28"/>
        </w:rPr>
        <w:t xml:space="preserve">  </w:t>
      </w:r>
      <w:r>
        <w:rPr>
          <w:rFonts w:ascii="標楷體" w:eastAsia="標楷體" w:hAnsi="標楷體" w:hint="eastAsia"/>
          <w:sz w:val="28"/>
          <w:szCs w:val="28"/>
        </w:rPr>
        <w:t>林</w:t>
      </w:r>
      <w:r>
        <w:rPr>
          <w:rFonts w:ascii="標楷體" w:eastAsia="標楷體" w:hAnsi="標楷體"/>
          <w:sz w:val="28"/>
          <w:szCs w:val="28"/>
        </w:rPr>
        <w:t xml:space="preserve">   </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蔡</w:t>
      </w:r>
      <w:r>
        <w:rPr>
          <w:rFonts w:ascii="標楷體" w:eastAsia="標楷體" w:hAnsi="標楷體"/>
          <w:sz w:val="28"/>
          <w:szCs w:val="28"/>
        </w:rPr>
        <w:t xml:space="preserve">  </w:t>
      </w:r>
      <w:r>
        <w:rPr>
          <w:rFonts w:ascii="標楷體" w:eastAsia="標楷體" w:hAnsi="標楷體" w:hint="eastAsia"/>
          <w:sz w:val="28"/>
          <w:szCs w:val="28"/>
        </w:rPr>
        <w:t>明</w:t>
      </w:r>
      <w:r>
        <w:rPr>
          <w:rFonts w:ascii="標楷體" w:eastAsia="標楷體" w:hAnsi="標楷體"/>
          <w:sz w:val="28"/>
          <w:szCs w:val="28"/>
        </w:rPr>
        <w:t xml:space="preserve">  </w:t>
      </w:r>
      <w:r>
        <w:rPr>
          <w:rFonts w:ascii="標楷體" w:eastAsia="標楷體" w:hAnsi="標楷體" w:hint="eastAsia"/>
          <w:sz w:val="28"/>
          <w:szCs w:val="28"/>
        </w:rPr>
        <w:t>誠</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蔡</w:t>
      </w:r>
      <w:r>
        <w:rPr>
          <w:rFonts w:ascii="標楷體" w:eastAsia="標楷體" w:hAnsi="標楷體"/>
          <w:sz w:val="28"/>
          <w:szCs w:val="28"/>
        </w:rPr>
        <w:t xml:space="preserve">  </w:t>
      </w:r>
      <w:r>
        <w:rPr>
          <w:rFonts w:ascii="標楷體" w:eastAsia="標楷體" w:hAnsi="標楷體" w:hint="eastAsia"/>
          <w:sz w:val="28"/>
          <w:szCs w:val="28"/>
        </w:rPr>
        <w:t>烱</w:t>
      </w:r>
      <w:r>
        <w:rPr>
          <w:rFonts w:ascii="標楷體" w:eastAsia="標楷體" w:hAnsi="標楷體"/>
          <w:sz w:val="28"/>
          <w:szCs w:val="28"/>
        </w:rPr>
        <w:t xml:space="preserve">  </w:t>
      </w:r>
      <w:r>
        <w:rPr>
          <w:rFonts w:ascii="標楷體" w:eastAsia="標楷體" w:hAnsi="標楷體" w:hint="eastAsia"/>
          <w:sz w:val="28"/>
          <w:szCs w:val="28"/>
        </w:rPr>
        <w:t>燉</w:t>
      </w:r>
      <w:r w:rsidR="00C67FB5">
        <w:rPr>
          <w:rFonts w:ascii="標楷體" w:eastAsia="標楷體" w:hAnsi="標楷體" w:hint="eastAsia"/>
          <w:sz w:val="28"/>
          <w:szCs w:val="28"/>
        </w:rPr>
        <w:t xml:space="preserve">  (請假)</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蔡</w:t>
      </w:r>
      <w:r>
        <w:rPr>
          <w:rFonts w:ascii="標楷體" w:eastAsia="標楷體" w:hAnsi="標楷體"/>
          <w:sz w:val="28"/>
          <w:szCs w:val="28"/>
        </w:rPr>
        <w:t xml:space="preserve">  </w:t>
      </w:r>
      <w:r>
        <w:rPr>
          <w:rFonts w:ascii="標楷體" w:eastAsia="標楷體" w:hAnsi="標楷體" w:hint="eastAsia"/>
          <w:sz w:val="28"/>
          <w:szCs w:val="28"/>
        </w:rPr>
        <w:t>鴻</w:t>
      </w:r>
      <w:r>
        <w:rPr>
          <w:rFonts w:ascii="標楷體" w:eastAsia="標楷體" w:hAnsi="標楷體"/>
          <w:sz w:val="28"/>
          <w:szCs w:val="28"/>
        </w:rPr>
        <w:t xml:space="preserve">  </w:t>
      </w:r>
      <w:r>
        <w:rPr>
          <w:rFonts w:ascii="標楷體" w:eastAsia="標楷體" w:hAnsi="標楷體" w:hint="eastAsia"/>
          <w:sz w:val="28"/>
          <w:szCs w:val="28"/>
        </w:rPr>
        <w:t>杰</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鄭</w:t>
      </w:r>
      <w:r>
        <w:rPr>
          <w:rFonts w:ascii="標楷體" w:eastAsia="標楷體" w:hAnsi="標楷體"/>
          <w:sz w:val="28"/>
          <w:szCs w:val="28"/>
        </w:rPr>
        <w:t xml:space="preserve">  </w:t>
      </w:r>
      <w:r>
        <w:rPr>
          <w:rFonts w:ascii="標楷體" w:eastAsia="標楷體" w:hAnsi="標楷體" w:hint="eastAsia"/>
          <w:sz w:val="28"/>
          <w:szCs w:val="28"/>
        </w:rPr>
        <w:t>瑞</w:t>
      </w:r>
      <w:r>
        <w:rPr>
          <w:rFonts w:ascii="標楷體" w:eastAsia="標楷體" w:hAnsi="標楷體"/>
          <w:sz w:val="28"/>
          <w:szCs w:val="28"/>
        </w:rPr>
        <w:t xml:space="preserve">  </w:t>
      </w:r>
      <w:r>
        <w:rPr>
          <w:rFonts w:ascii="標楷體" w:eastAsia="標楷體" w:hAnsi="標楷體" w:hint="eastAsia"/>
          <w:sz w:val="28"/>
          <w:szCs w:val="28"/>
        </w:rPr>
        <w:t>隆</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羅</w:t>
      </w:r>
      <w:r>
        <w:rPr>
          <w:rFonts w:ascii="標楷體" w:eastAsia="標楷體" w:hAnsi="標楷體"/>
          <w:sz w:val="28"/>
          <w:szCs w:val="28"/>
        </w:rPr>
        <w:t xml:space="preserve">  </w:t>
      </w:r>
      <w:r>
        <w:rPr>
          <w:rFonts w:ascii="標楷體" w:eastAsia="標楷體" w:hAnsi="標楷體" w:hint="eastAsia"/>
          <w:sz w:val="28"/>
          <w:szCs w:val="28"/>
        </w:rPr>
        <w:t>秉</w:t>
      </w:r>
      <w:r>
        <w:rPr>
          <w:rFonts w:ascii="標楷體" w:eastAsia="標楷體" w:hAnsi="標楷體"/>
          <w:sz w:val="28"/>
          <w:szCs w:val="28"/>
        </w:rPr>
        <w:t xml:space="preserve">  </w:t>
      </w:r>
      <w:r>
        <w:rPr>
          <w:rFonts w:ascii="標楷體" w:eastAsia="標楷體" w:hAnsi="標楷體" w:hint="eastAsia"/>
          <w:sz w:val="28"/>
          <w:szCs w:val="28"/>
        </w:rPr>
        <w:t>成</w:t>
      </w:r>
    </w:p>
    <w:p w:rsidR="004A78D5" w:rsidRDefault="004A78D5" w:rsidP="0014657B">
      <w:pPr>
        <w:spacing w:line="5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委</w:t>
      </w:r>
      <w:r>
        <w:rPr>
          <w:rFonts w:ascii="標楷體" w:eastAsia="標楷體" w:hAnsi="標楷體"/>
          <w:sz w:val="28"/>
          <w:szCs w:val="28"/>
        </w:rPr>
        <w:t xml:space="preserve"> </w:t>
      </w:r>
      <w:r>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蘇</w:t>
      </w:r>
      <w:r>
        <w:rPr>
          <w:rFonts w:ascii="標楷體" w:eastAsia="標楷體" w:hAnsi="標楷體"/>
          <w:sz w:val="28"/>
          <w:szCs w:val="28"/>
        </w:rPr>
        <w:t xml:space="preserve">  </w:t>
      </w:r>
      <w:r>
        <w:rPr>
          <w:rFonts w:ascii="標楷體" w:eastAsia="標楷體" w:hAnsi="標楷體" w:hint="eastAsia"/>
          <w:sz w:val="28"/>
          <w:szCs w:val="28"/>
        </w:rPr>
        <w:t>佩</w:t>
      </w:r>
      <w:r>
        <w:rPr>
          <w:rFonts w:ascii="標楷體" w:eastAsia="標楷體" w:hAnsi="標楷體"/>
          <w:sz w:val="28"/>
          <w:szCs w:val="28"/>
        </w:rPr>
        <w:t xml:space="preserve">  </w:t>
      </w:r>
      <w:r>
        <w:rPr>
          <w:rFonts w:ascii="標楷體" w:eastAsia="標楷體" w:hAnsi="標楷體" w:hint="eastAsia"/>
          <w:sz w:val="28"/>
          <w:szCs w:val="28"/>
        </w:rPr>
        <w:t>鈺</w:t>
      </w:r>
    </w:p>
    <w:p w:rsidR="004A78D5" w:rsidRDefault="004A78D5" w:rsidP="0014657B">
      <w:pPr>
        <w:tabs>
          <w:tab w:val="left" w:pos="426"/>
        </w:tabs>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（依委員之姓名筆劃由少至多排列）</w:t>
      </w:r>
    </w:p>
    <w:p w:rsidR="004A78D5" w:rsidRDefault="004A78D5" w:rsidP="0014657B">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以上正本係照原本作成。</w:t>
      </w:r>
    </w:p>
    <w:p w:rsidR="004A78D5" w:rsidRDefault="004A78D5" w:rsidP="0014657B">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中　　華　　民　　國　</w:t>
      </w:r>
      <w:r>
        <w:rPr>
          <w:rFonts w:ascii="標楷體" w:eastAsia="標楷體" w:hAnsi="標楷體"/>
          <w:sz w:val="28"/>
          <w:szCs w:val="28"/>
        </w:rPr>
        <w:t xml:space="preserve"> </w:t>
      </w:r>
      <w:r w:rsidR="00C67FB5">
        <w:rPr>
          <w:rFonts w:ascii="標楷體" w:eastAsia="標楷體" w:hAnsi="標楷體" w:hint="eastAsia"/>
          <w:sz w:val="28"/>
          <w:szCs w:val="28"/>
        </w:rPr>
        <w:t xml:space="preserve">  </w:t>
      </w:r>
      <w:r>
        <w:rPr>
          <w:rFonts w:ascii="標楷體" w:eastAsia="標楷體" w:hAnsi="標楷體"/>
          <w:sz w:val="28"/>
          <w:szCs w:val="28"/>
        </w:rPr>
        <w:t>103</w:t>
      </w:r>
      <w:r w:rsidR="00C67FB5">
        <w:rPr>
          <w:rFonts w:ascii="標楷體" w:eastAsia="標楷體" w:hAnsi="標楷體" w:hint="eastAsia"/>
          <w:sz w:val="28"/>
          <w:szCs w:val="28"/>
        </w:rPr>
        <w:t xml:space="preserve"> </w:t>
      </w:r>
      <w:r>
        <w:rPr>
          <w:rFonts w:ascii="標楷體" w:eastAsia="標楷體" w:hAnsi="標楷體" w:hint="eastAsia"/>
          <w:sz w:val="28"/>
          <w:szCs w:val="28"/>
        </w:rPr>
        <w:t xml:space="preserve">　　年　</w:t>
      </w:r>
      <w:r>
        <w:rPr>
          <w:rFonts w:ascii="標楷體" w:eastAsia="標楷體" w:hAnsi="標楷體"/>
          <w:sz w:val="28"/>
          <w:szCs w:val="28"/>
        </w:rPr>
        <w:t xml:space="preserve"> </w:t>
      </w:r>
      <w:r>
        <w:rPr>
          <w:rFonts w:ascii="標楷體" w:eastAsia="標楷體" w:hAnsi="標楷體" w:hint="eastAsia"/>
          <w:sz w:val="28"/>
          <w:szCs w:val="28"/>
        </w:rPr>
        <w:t xml:space="preserve">　</w:t>
      </w:r>
      <w:r w:rsidR="00C67FB5">
        <w:rPr>
          <w:rFonts w:ascii="標楷體" w:eastAsia="標楷體" w:hAnsi="標楷體" w:hint="eastAsia"/>
          <w:sz w:val="28"/>
          <w:szCs w:val="28"/>
        </w:rPr>
        <w:t>9</w:t>
      </w:r>
      <w:r>
        <w:rPr>
          <w:rFonts w:ascii="標楷體" w:eastAsia="標楷體" w:hAnsi="標楷體" w:hint="eastAsia"/>
          <w:sz w:val="28"/>
          <w:szCs w:val="28"/>
        </w:rPr>
        <w:t xml:space="preserve">　　月　</w:t>
      </w:r>
      <w:r>
        <w:rPr>
          <w:rFonts w:ascii="標楷體" w:eastAsia="標楷體" w:hAnsi="標楷體"/>
          <w:sz w:val="28"/>
          <w:szCs w:val="28"/>
        </w:rPr>
        <w:t xml:space="preserve">  </w:t>
      </w:r>
      <w:r w:rsidR="00C67FB5">
        <w:rPr>
          <w:rFonts w:ascii="標楷體" w:eastAsia="標楷體" w:hAnsi="標楷體" w:hint="eastAsia"/>
          <w:sz w:val="28"/>
          <w:szCs w:val="28"/>
        </w:rPr>
        <w:t>30</w:t>
      </w:r>
      <w:r>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日</w:t>
      </w:r>
    </w:p>
    <w:p w:rsidR="004A78D5" w:rsidRDefault="004A78D5" w:rsidP="0014657B">
      <w:pPr>
        <w:tabs>
          <w:tab w:val="left" w:pos="426"/>
        </w:tabs>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書記</w:t>
      </w:r>
      <w:r>
        <w:rPr>
          <w:rFonts w:ascii="標楷體" w:eastAsia="標楷體" w:hAnsi="標楷體"/>
          <w:sz w:val="28"/>
          <w:szCs w:val="28"/>
        </w:rPr>
        <w:t xml:space="preserve">       </w:t>
      </w:r>
      <w:r w:rsidRPr="002108F6">
        <w:rPr>
          <w:rFonts w:ascii="標楷體" w:eastAsia="標楷體" w:hAnsi="標楷體" w:hint="eastAsia"/>
          <w:sz w:val="28"/>
          <w:szCs w:val="28"/>
        </w:rPr>
        <w:t>林</w:t>
      </w:r>
      <w:r>
        <w:rPr>
          <w:rFonts w:ascii="標楷體" w:eastAsia="標楷體" w:hAnsi="標楷體"/>
          <w:sz w:val="28"/>
          <w:szCs w:val="28"/>
        </w:rPr>
        <w:t xml:space="preserve"> </w:t>
      </w:r>
      <w:r w:rsidRPr="002108F6">
        <w:rPr>
          <w:rFonts w:ascii="標楷體" w:eastAsia="標楷體" w:hAnsi="標楷體" w:hint="eastAsia"/>
          <w:sz w:val="28"/>
          <w:szCs w:val="28"/>
        </w:rPr>
        <w:t>馥</w:t>
      </w:r>
      <w:r>
        <w:rPr>
          <w:rFonts w:ascii="標楷體" w:eastAsia="標楷體" w:hAnsi="標楷體"/>
          <w:sz w:val="28"/>
          <w:szCs w:val="28"/>
        </w:rPr>
        <w:t xml:space="preserve"> </w:t>
      </w:r>
      <w:r>
        <w:rPr>
          <w:rFonts w:ascii="標楷體" w:eastAsia="標楷體" w:hAnsi="標楷體" w:hint="eastAsia"/>
          <w:sz w:val="28"/>
          <w:szCs w:val="28"/>
        </w:rPr>
        <w:t>菁</w:t>
      </w:r>
    </w:p>
    <w:p w:rsidR="004A78D5" w:rsidRDefault="004A78D5"/>
    <w:sectPr w:rsidR="004A78D5" w:rsidSect="00784228">
      <w:headerReference w:type="even" r:id="rId9"/>
      <w:headerReference w:type="default" r:id="rId10"/>
      <w:footerReference w:type="even" r:id="rId11"/>
      <w:footerReference w:type="default" r:id="rId12"/>
      <w:headerReference w:type="first" r:id="rId13"/>
      <w:footerReference w:type="first" r:id="rId14"/>
      <w:pgSz w:w="11906" w:h="16838"/>
      <w:pgMar w:top="1440" w:right="164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70" w:rsidRDefault="00E91A70">
      <w:r>
        <w:separator/>
      </w:r>
    </w:p>
  </w:endnote>
  <w:endnote w:type="continuationSeparator" w:id="0">
    <w:p w:rsidR="00E91A70" w:rsidRDefault="00E9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AD" w:rsidRDefault="00A736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5" w:rsidRDefault="00570509">
    <w:pPr>
      <w:pStyle w:val="a5"/>
      <w:jc w:val="center"/>
    </w:pPr>
    <w:r>
      <w:fldChar w:fldCharType="begin"/>
    </w:r>
    <w:r>
      <w:instrText>PAGE   \* MERGEFORMAT</w:instrText>
    </w:r>
    <w:r>
      <w:fldChar w:fldCharType="separate"/>
    </w:r>
    <w:r w:rsidR="00E91A70" w:rsidRPr="00E91A70">
      <w:rPr>
        <w:noProof/>
        <w:lang w:val="zh-TW"/>
      </w:rPr>
      <w:t>1</w:t>
    </w:r>
    <w:r>
      <w:rPr>
        <w:noProof/>
        <w:lang w:val="zh-TW"/>
      </w:rPr>
      <w:fldChar w:fldCharType="end"/>
    </w:r>
  </w:p>
  <w:p w:rsidR="004A78D5" w:rsidRDefault="004A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AD" w:rsidRDefault="00A736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70" w:rsidRDefault="00E91A70">
      <w:r>
        <w:separator/>
      </w:r>
    </w:p>
  </w:footnote>
  <w:footnote w:type="continuationSeparator" w:id="0">
    <w:p w:rsidR="00E91A70" w:rsidRDefault="00E9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AD" w:rsidRDefault="00A736A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6479" o:spid="_x0000_s2050" type="#_x0000_t136" style="position:absolute;margin-left:0;margin-top:0;width:497.25pt;height:99.4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AD" w:rsidRDefault="00A736A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6480" o:spid="_x0000_s2051" type="#_x0000_t136" style="position:absolute;margin-left:0;margin-top:0;width:497.25pt;height:99.4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AD" w:rsidRDefault="00A736A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6478" o:spid="_x0000_s2049" type="#_x0000_t136" style="position:absolute;margin-left:0;margin-top:0;width:497.25pt;height:99.4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3DA8"/>
    <w:multiLevelType w:val="hybridMultilevel"/>
    <w:tmpl w:val="70305714"/>
    <w:lvl w:ilvl="0" w:tplc="A08ED142">
      <w:start w:val="1"/>
      <w:numFmt w:val="taiwaneseCountingThousand"/>
      <w:lvlText w:val="%1、"/>
      <w:lvlJc w:val="left"/>
      <w:pPr>
        <w:ind w:left="560" w:hanging="5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7B"/>
    <w:rsid w:val="00020C01"/>
    <w:rsid w:val="0002129B"/>
    <w:rsid w:val="00054108"/>
    <w:rsid w:val="00105EB6"/>
    <w:rsid w:val="00114D8F"/>
    <w:rsid w:val="0014657B"/>
    <w:rsid w:val="00160A64"/>
    <w:rsid w:val="00167A40"/>
    <w:rsid w:val="00183584"/>
    <w:rsid w:val="0019686C"/>
    <w:rsid w:val="001A750C"/>
    <w:rsid w:val="001E39CE"/>
    <w:rsid w:val="002108F6"/>
    <w:rsid w:val="00215F7F"/>
    <w:rsid w:val="00262B41"/>
    <w:rsid w:val="002A39E2"/>
    <w:rsid w:val="002C28E4"/>
    <w:rsid w:val="002D1BDE"/>
    <w:rsid w:val="002D28B4"/>
    <w:rsid w:val="0032675E"/>
    <w:rsid w:val="00344DB2"/>
    <w:rsid w:val="003858E5"/>
    <w:rsid w:val="003A61C1"/>
    <w:rsid w:val="003C3416"/>
    <w:rsid w:val="004426A9"/>
    <w:rsid w:val="00464C3A"/>
    <w:rsid w:val="004A78D5"/>
    <w:rsid w:val="004C350D"/>
    <w:rsid w:val="00507B39"/>
    <w:rsid w:val="00532D94"/>
    <w:rsid w:val="00570509"/>
    <w:rsid w:val="0057370B"/>
    <w:rsid w:val="00634BF2"/>
    <w:rsid w:val="00706378"/>
    <w:rsid w:val="0073143A"/>
    <w:rsid w:val="0073368D"/>
    <w:rsid w:val="00784228"/>
    <w:rsid w:val="007A4034"/>
    <w:rsid w:val="007A6F9F"/>
    <w:rsid w:val="007E7D33"/>
    <w:rsid w:val="00802457"/>
    <w:rsid w:val="00875BA7"/>
    <w:rsid w:val="00906BF9"/>
    <w:rsid w:val="00977A18"/>
    <w:rsid w:val="00993E2C"/>
    <w:rsid w:val="00A10C86"/>
    <w:rsid w:val="00A37898"/>
    <w:rsid w:val="00A736AD"/>
    <w:rsid w:val="00A840EB"/>
    <w:rsid w:val="00B643BD"/>
    <w:rsid w:val="00B67F89"/>
    <w:rsid w:val="00BB1865"/>
    <w:rsid w:val="00BD3E33"/>
    <w:rsid w:val="00BD5CE1"/>
    <w:rsid w:val="00BE12C3"/>
    <w:rsid w:val="00C0619E"/>
    <w:rsid w:val="00C67FB5"/>
    <w:rsid w:val="00D246B6"/>
    <w:rsid w:val="00D30EAA"/>
    <w:rsid w:val="00D33CFA"/>
    <w:rsid w:val="00DE3CC7"/>
    <w:rsid w:val="00E0369F"/>
    <w:rsid w:val="00E114A7"/>
    <w:rsid w:val="00E72AB8"/>
    <w:rsid w:val="00E85B90"/>
    <w:rsid w:val="00E91A70"/>
    <w:rsid w:val="00E95435"/>
    <w:rsid w:val="00EA7A85"/>
    <w:rsid w:val="00EF5698"/>
    <w:rsid w:val="00F6429F"/>
    <w:rsid w:val="00FC4325"/>
    <w:rsid w:val="00FF6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7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657B"/>
    <w:pPr>
      <w:tabs>
        <w:tab w:val="center" w:pos="4153"/>
        <w:tab w:val="right" w:pos="8306"/>
      </w:tabs>
      <w:snapToGrid w:val="0"/>
    </w:pPr>
    <w:rPr>
      <w:sz w:val="20"/>
      <w:szCs w:val="20"/>
    </w:rPr>
  </w:style>
  <w:style w:type="character" w:customStyle="1" w:styleId="a4">
    <w:name w:val="頁首 字元"/>
    <w:basedOn w:val="a0"/>
    <w:link w:val="a3"/>
    <w:uiPriority w:val="99"/>
    <w:locked/>
    <w:rsid w:val="0014657B"/>
    <w:rPr>
      <w:rFonts w:ascii="Times New Roman" w:eastAsia="新細明體" w:hAnsi="Times New Roman" w:cs="Times New Roman"/>
      <w:sz w:val="20"/>
      <w:szCs w:val="20"/>
    </w:rPr>
  </w:style>
  <w:style w:type="paragraph" w:styleId="a5">
    <w:name w:val="footer"/>
    <w:basedOn w:val="a"/>
    <w:link w:val="a6"/>
    <w:uiPriority w:val="99"/>
    <w:rsid w:val="0014657B"/>
    <w:pPr>
      <w:tabs>
        <w:tab w:val="center" w:pos="4153"/>
        <w:tab w:val="right" w:pos="8306"/>
      </w:tabs>
      <w:snapToGrid w:val="0"/>
    </w:pPr>
    <w:rPr>
      <w:sz w:val="20"/>
      <w:szCs w:val="20"/>
    </w:rPr>
  </w:style>
  <w:style w:type="character" w:customStyle="1" w:styleId="a6">
    <w:name w:val="頁尾 字元"/>
    <w:basedOn w:val="a0"/>
    <w:link w:val="a5"/>
    <w:uiPriority w:val="99"/>
    <w:locked/>
    <w:rsid w:val="0014657B"/>
    <w:rPr>
      <w:rFonts w:ascii="Times New Roman" w:eastAsia="新細明體" w:hAnsi="Times New Roman" w:cs="Times New Roman"/>
      <w:sz w:val="20"/>
      <w:szCs w:val="20"/>
    </w:rPr>
  </w:style>
  <w:style w:type="paragraph" w:styleId="a7">
    <w:name w:val="Salutation"/>
    <w:basedOn w:val="a"/>
    <w:next w:val="a"/>
    <w:link w:val="a8"/>
    <w:uiPriority w:val="99"/>
    <w:rsid w:val="0019686C"/>
    <w:rPr>
      <w:rFonts w:ascii="標楷體" w:eastAsia="標楷體" w:hAnsi="標楷體"/>
      <w:sz w:val="28"/>
      <w:szCs w:val="28"/>
    </w:rPr>
  </w:style>
  <w:style w:type="character" w:customStyle="1" w:styleId="a8">
    <w:name w:val="問候 字元"/>
    <w:basedOn w:val="a0"/>
    <w:link w:val="a7"/>
    <w:uiPriority w:val="99"/>
    <w:locked/>
    <w:rsid w:val="0019686C"/>
    <w:rPr>
      <w:rFonts w:ascii="標楷體" w:eastAsia="標楷體" w:hAnsi="標楷體" w:cs="Times New Roman"/>
      <w:sz w:val="28"/>
      <w:szCs w:val="28"/>
    </w:rPr>
  </w:style>
  <w:style w:type="paragraph" w:styleId="a9">
    <w:name w:val="Closing"/>
    <w:basedOn w:val="a"/>
    <w:link w:val="aa"/>
    <w:uiPriority w:val="99"/>
    <w:rsid w:val="0019686C"/>
    <w:pPr>
      <w:ind w:leftChars="1800" w:left="100"/>
    </w:pPr>
    <w:rPr>
      <w:rFonts w:ascii="標楷體" w:eastAsia="標楷體" w:hAnsi="標楷體"/>
      <w:sz w:val="28"/>
      <w:szCs w:val="28"/>
    </w:rPr>
  </w:style>
  <w:style w:type="character" w:customStyle="1" w:styleId="aa">
    <w:name w:val="結語 字元"/>
    <w:basedOn w:val="a0"/>
    <w:link w:val="a9"/>
    <w:uiPriority w:val="99"/>
    <w:locked/>
    <w:rsid w:val="0019686C"/>
    <w:rPr>
      <w:rFonts w:ascii="標楷體" w:eastAsia="標楷體" w:hAnsi="標楷體" w:cs="Times New Roman"/>
      <w:sz w:val="28"/>
      <w:szCs w:val="28"/>
    </w:rPr>
  </w:style>
  <w:style w:type="paragraph" w:styleId="ab">
    <w:name w:val="List Paragraph"/>
    <w:basedOn w:val="a"/>
    <w:uiPriority w:val="99"/>
    <w:qFormat/>
    <w:rsid w:val="00E114A7"/>
    <w:pPr>
      <w:ind w:leftChars="200" w:left="480"/>
    </w:pPr>
  </w:style>
  <w:style w:type="paragraph" w:styleId="ac">
    <w:name w:val="Balloon Text"/>
    <w:basedOn w:val="a"/>
    <w:link w:val="ad"/>
    <w:uiPriority w:val="99"/>
    <w:semiHidden/>
    <w:rsid w:val="00802457"/>
    <w:rPr>
      <w:rFonts w:ascii="Cambria" w:hAnsi="Cambria"/>
      <w:sz w:val="18"/>
      <w:szCs w:val="18"/>
    </w:rPr>
  </w:style>
  <w:style w:type="character" w:customStyle="1" w:styleId="ad">
    <w:name w:val="註解方塊文字 字元"/>
    <w:basedOn w:val="a0"/>
    <w:link w:val="ac"/>
    <w:uiPriority w:val="99"/>
    <w:semiHidden/>
    <w:locked/>
    <w:rsid w:val="00802457"/>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7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657B"/>
    <w:pPr>
      <w:tabs>
        <w:tab w:val="center" w:pos="4153"/>
        <w:tab w:val="right" w:pos="8306"/>
      </w:tabs>
      <w:snapToGrid w:val="0"/>
    </w:pPr>
    <w:rPr>
      <w:sz w:val="20"/>
      <w:szCs w:val="20"/>
    </w:rPr>
  </w:style>
  <w:style w:type="character" w:customStyle="1" w:styleId="a4">
    <w:name w:val="頁首 字元"/>
    <w:basedOn w:val="a0"/>
    <w:link w:val="a3"/>
    <w:uiPriority w:val="99"/>
    <w:locked/>
    <w:rsid w:val="0014657B"/>
    <w:rPr>
      <w:rFonts w:ascii="Times New Roman" w:eastAsia="新細明體" w:hAnsi="Times New Roman" w:cs="Times New Roman"/>
      <w:sz w:val="20"/>
      <w:szCs w:val="20"/>
    </w:rPr>
  </w:style>
  <w:style w:type="paragraph" w:styleId="a5">
    <w:name w:val="footer"/>
    <w:basedOn w:val="a"/>
    <w:link w:val="a6"/>
    <w:uiPriority w:val="99"/>
    <w:rsid w:val="0014657B"/>
    <w:pPr>
      <w:tabs>
        <w:tab w:val="center" w:pos="4153"/>
        <w:tab w:val="right" w:pos="8306"/>
      </w:tabs>
      <w:snapToGrid w:val="0"/>
    </w:pPr>
    <w:rPr>
      <w:sz w:val="20"/>
      <w:szCs w:val="20"/>
    </w:rPr>
  </w:style>
  <w:style w:type="character" w:customStyle="1" w:styleId="a6">
    <w:name w:val="頁尾 字元"/>
    <w:basedOn w:val="a0"/>
    <w:link w:val="a5"/>
    <w:uiPriority w:val="99"/>
    <w:locked/>
    <w:rsid w:val="0014657B"/>
    <w:rPr>
      <w:rFonts w:ascii="Times New Roman" w:eastAsia="新細明體" w:hAnsi="Times New Roman" w:cs="Times New Roman"/>
      <w:sz w:val="20"/>
      <w:szCs w:val="20"/>
    </w:rPr>
  </w:style>
  <w:style w:type="paragraph" w:styleId="a7">
    <w:name w:val="Salutation"/>
    <w:basedOn w:val="a"/>
    <w:next w:val="a"/>
    <w:link w:val="a8"/>
    <w:uiPriority w:val="99"/>
    <w:rsid w:val="0019686C"/>
    <w:rPr>
      <w:rFonts w:ascii="標楷體" w:eastAsia="標楷體" w:hAnsi="標楷體"/>
      <w:sz w:val="28"/>
      <w:szCs w:val="28"/>
    </w:rPr>
  </w:style>
  <w:style w:type="character" w:customStyle="1" w:styleId="a8">
    <w:name w:val="問候 字元"/>
    <w:basedOn w:val="a0"/>
    <w:link w:val="a7"/>
    <w:uiPriority w:val="99"/>
    <w:locked/>
    <w:rsid w:val="0019686C"/>
    <w:rPr>
      <w:rFonts w:ascii="標楷體" w:eastAsia="標楷體" w:hAnsi="標楷體" w:cs="Times New Roman"/>
      <w:sz w:val="28"/>
      <w:szCs w:val="28"/>
    </w:rPr>
  </w:style>
  <w:style w:type="paragraph" w:styleId="a9">
    <w:name w:val="Closing"/>
    <w:basedOn w:val="a"/>
    <w:link w:val="aa"/>
    <w:uiPriority w:val="99"/>
    <w:rsid w:val="0019686C"/>
    <w:pPr>
      <w:ind w:leftChars="1800" w:left="100"/>
    </w:pPr>
    <w:rPr>
      <w:rFonts w:ascii="標楷體" w:eastAsia="標楷體" w:hAnsi="標楷體"/>
      <w:sz w:val="28"/>
      <w:szCs w:val="28"/>
    </w:rPr>
  </w:style>
  <w:style w:type="character" w:customStyle="1" w:styleId="aa">
    <w:name w:val="結語 字元"/>
    <w:basedOn w:val="a0"/>
    <w:link w:val="a9"/>
    <w:uiPriority w:val="99"/>
    <w:locked/>
    <w:rsid w:val="0019686C"/>
    <w:rPr>
      <w:rFonts w:ascii="標楷體" w:eastAsia="標楷體" w:hAnsi="標楷體" w:cs="Times New Roman"/>
      <w:sz w:val="28"/>
      <w:szCs w:val="28"/>
    </w:rPr>
  </w:style>
  <w:style w:type="paragraph" w:styleId="ab">
    <w:name w:val="List Paragraph"/>
    <w:basedOn w:val="a"/>
    <w:uiPriority w:val="99"/>
    <w:qFormat/>
    <w:rsid w:val="00E114A7"/>
    <w:pPr>
      <w:ind w:leftChars="200" w:left="480"/>
    </w:pPr>
  </w:style>
  <w:style w:type="paragraph" w:styleId="ac">
    <w:name w:val="Balloon Text"/>
    <w:basedOn w:val="a"/>
    <w:link w:val="ad"/>
    <w:uiPriority w:val="99"/>
    <w:semiHidden/>
    <w:rsid w:val="00802457"/>
    <w:rPr>
      <w:rFonts w:ascii="Cambria" w:hAnsi="Cambria"/>
      <w:sz w:val="18"/>
      <w:szCs w:val="18"/>
    </w:rPr>
  </w:style>
  <w:style w:type="character" w:customStyle="1" w:styleId="ad">
    <w:name w:val="註解方塊文字 字元"/>
    <w:basedOn w:val="a0"/>
    <w:link w:val="ac"/>
    <w:uiPriority w:val="99"/>
    <w:semiHidden/>
    <w:locked/>
    <w:rsid w:val="00802457"/>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765C-02D1-49AB-AD1B-35ABB9E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459</Words>
  <Characters>2621</Characters>
  <Application>Microsoft Office Word</Application>
  <DocSecurity>0</DocSecurity>
  <Lines>21</Lines>
  <Paragraphs>6</Paragraphs>
  <ScaleCrop>false</ScaleCrop>
  <Company>MOJ</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檢察官評鑑委員會評鑑決議書</dc:title>
  <dc:creator>朱楠</dc:creator>
  <cp:lastModifiedBy>MOJ</cp:lastModifiedBy>
  <cp:revision>4</cp:revision>
  <cp:lastPrinted>2014-08-26T08:03:00Z</cp:lastPrinted>
  <dcterms:created xsi:type="dcterms:W3CDTF">2014-10-01T08:12:00Z</dcterms:created>
  <dcterms:modified xsi:type="dcterms:W3CDTF">2014-10-01T08:15:00Z</dcterms:modified>
</cp:coreProperties>
</file>