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DD6EE"/>
  <w:body>
    <w:p w:rsidR="007F16A2" w:rsidRPr="00666396" w:rsidRDefault="007F16A2" w:rsidP="00600F66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66396">
        <w:rPr>
          <w:rFonts w:ascii="標楷體" w:eastAsia="標楷體" w:hAnsi="標楷體" w:hint="eastAsia"/>
          <w:color w:val="000000"/>
          <w:sz w:val="32"/>
          <w:szCs w:val="32"/>
        </w:rPr>
        <w:t>檢察官評鑑委員會評鑑決議書</w:t>
      </w:r>
    </w:p>
    <w:p w:rsidR="007F16A2" w:rsidRPr="00666396" w:rsidRDefault="007F16A2" w:rsidP="00600F66">
      <w:pPr>
        <w:wordWrap w:val="0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                        103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年度檢評字第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004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號</w:t>
      </w:r>
    </w:p>
    <w:p w:rsidR="007F16A2" w:rsidRPr="00666396" w:rsidRDefault="007F16A2" w:rsidP="00600F66">
      <w:pPr>
        <w:rPr>
          <w:rFonts w:ascii="標楷體" w:eastAsia="標楷體" w:hAnsi="標楷體"/>
          <w:color w:val="000000"/>
          <w:sz w:val="28"/>
          <w:szCs w:val="28"/>
        </w:rPr>
      </w:pP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求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人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財團法人民間司法改革基金會</w:t>
      </w:r>
    </w:p>
    <w:p w:rsidR="007F16A2" w:rsidRPr="00666396" w:rsidRDefault="007F16A2" w:rsidP="00600F66">
      <w:pPr>
        <w:rPr>
          <w:rFonts w:ascii="標楷體" w:eastAsia="標楷體" w:hAnsi="標楷體"/>
          <w:color w:val="000000"/>
          <w:sz w:val="28"/>
          <w:szCs w:val="28"/>
        </w:rPr>
      </w:pP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          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設臺北市中山區松江路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90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巷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3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7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樓</w:t>
      </w:r>
    </w:p>
    <w:p w:rsidR="007F16A2" w:rsidRPr="00666396" w:rsidRDefault="007F16A2" w:rsidP="00600F66">
      <w:pPr>
        <w:rPr>
          <w:rFonts w:ascii="標楷體" w:eastAsia="標楷體" w:hAnsi="標楷體"/>
          <w:color w:val="000000"/>
          <w:sz w:val="28"/>
          <w:szCs w:val="28"/>
        </w:rPr>
      </w:pP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代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表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人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瞿海源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7F16A2" w:rsidRPr="00666396" w:rsidRDefault="007F16A2" w:rsidP="00600F66">
      <w:pPr>
        <w:rPr>
          <w:rFonts w:ascii="標楷體" w:eastAsia="標楷體" w:hAnsi="標楷體"/>
          <w:color w:val="000000"/>
          <w:sz w:val="28"/>
          <w:szCs w:val="28"/>
        </w:rPr>
      </w:pP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受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評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鑑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人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75670E">
        <w:rPr>
          <w:rFonts w:ascii="標楷體" w:eastAsia="標楷體" w:hAnsi="標楷體" w:hint="eastAsia"/>
          <w:color w:val="000000"/>
          <w:sz w:val="28"/>
          <w:szCs w:val="28"/>
        </w:rPr>
        <w:t>陳○○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男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臺灣高等法院檢察署檢察官</w:t>
      </w:r>
    </w:p>
    <w:p w:rsidR="007F16A2" w:rsidRPr="00666396" w:rsidRDefault="007F16A2" w:rsidP="00600F66">
      <w:pPr>
        <w:rPr>
          <w:rFonts w:ascii="標楷體" w:eastAsia="標楷體" w:hAnsi="標楷體"/>
          <w:color w:val="000000"/>
          <w:sz w:val="28"/>
          <w:szCs w:val="28"/>
        </w:rPr>
      </w:pP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上列受評鑑人因違反法官法事件，經財團法人民間司法改革基金會請求本會進行個案評鑑，本會決議如下：</w:t>
      </w:r>
    </w:p>
    <w:p w:rsidR="007F16A2" w:rsidRPr="00666396" w:rsidRDefault="007F16A2" w:rsidP="00600F66">
      <w:pPr>
        <w:rPr>
          <w:rFonts w:ascii="標楷體" w:eastAsia="標楷體" w:hAnsi="標楷體"/>
          <w:color w:val="000000"/>
          <w:sz w:val="28"/>
          <w:szCs w:val="28"/>
        </w:rPr>
      </w:pP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主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文</w:t>
      </w:r>
    </w:p>
    <w:p w:rsidR="007F16A2" w:rsidRPr="00666396" w:rsidRDefault="007F16A2" w:rsidP="00600F66">
      <w:pPr>
        <w:ind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本件不付評鑑。</w:t>
      </w:r>
    </w:p>
    <w:p w:rsidR="007F16A2" w:rsidRPr="00666396" w:rsidRDefault="007F16A2" w:rsidP="00600F66">
      <w:pPr>
        <w:rPr>
          <w:rFonts w:ascii="標楷體" w:eastAsia="標楷體" w:hAnsi="標楷體"/>
          <w:color w:val="000000"/>
          <w:sz w:val="28"/>
          <w:szCs w:val="28"/>
        </w:rPr>
      </w:pP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理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由</w:t>
      </w:r>
    </w:p>
    <w:p w:rsidR="007F16A2" w:rsidRPr="00666396" w:rsidRDefault="007F16A2" w:rsidP="005C461E">
      <w:pPr>
        <w:numPr>
          <w:ilvl w:val="0"/>
          <w:numId w:val="1"/>
        </w:numPr>
        <w:spacing w:line="6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本件請求人財團法人民間司法改革基金會請求評鑑意旨略以：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(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)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按「上訴書狀應敘述上訴之理由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」、「檢察官為法治國之守護人及公益代表人，應恪遵憲法、依據法律，本於良知，公正、客觀、超然、獨立、勤慎執行職務」、「檢察官執行職務時，應與法院及律師協同致力於人權保障及司法正義迅速實現」、「檢察官應審慎監督裁判之合法與妥當。經詳閱卷證及裁判後，有相當理由認裁判有違法或不當者，應以書狀詳述不服之理由請求救濟。」、「…其上訴書，提起第三審上訴者，必須敘述理由。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…」，刑事訴訟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法第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382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條、檢察官倫理規範第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2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條、第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23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條、第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24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條、檢察機關辦理刑事訴訟案件應行注意事項第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134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條分別定有明文。由上開規定可知，檢察官代表國家追訴犯罪，應本於專業良知，勤慎執行職務，以竭力審慎完成身為法治國之守護人及公益之代表人之理念及使命。其中自包含檢察官應審慎監督司法裁判之合法性，且其職權之行使應依法定程序嚴謹審慎為之，藉此與法院協同致力於人權保障及司法正義之迅速實現。若檢察官經審核認定原裁判無違誤之處，即不應濫為上訴，以保障被告權利，避免人民無故訟累；若檢察官經審核認定原判決認事用法有所違誤，即應就原判決有所違誤之處提起合法之上訴，並依刑事訴訟法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382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條、檢察官倫理規範第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24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條及檢察機關辦理刑事訴訟案件應行注意事項第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134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條等規定，詳為說明原判決何以具有刑事訴訟法第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377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條至第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379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條之違法而應予廢棄之具體理由，以監督司法判決之妥適性，據以落實司法正義之實現。（二）緣被告</w:t>
      </w:r>
      <w:r w:rsidR="004751A7">
        <w:rPr>
          <w:rFonts w:ascii="標楷體" w:eastAsia="標楷體" w:hAnsi="標楷體" w:hint="eastAsia"/>
          <w:color w:val="000000"/>
          <w:sz w:val="28"/>
          <w:szCs w:val="28"/>
        </w:rPr>
        <w:t>薛○○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被訴誣告等案件，其誣告部分經</w:t>
      </w:r>
      <w:bookmarkStart w:id="0" w:name="_VV45"/>
      <w:bookmarkStart w:id="1" w:name="_VV23"/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臺灣臺北地方法院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95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年度訴字第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1460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號及臺灣高等法院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96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年度上易字第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945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號等判決認定無罪在案，受評鑑人就業經二審判決認定無罪部分，未依依刑事訴訟法第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382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條、檢察官倫理規範第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2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條、第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7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條、第</w:t>
      </w:r>
      <w:bookmarkStart w:id="2" w:name="_GoBack"/>
      <w:bookmarkEnd w:id="2"/>
      <w:r w:rsidRPr="00666396">
        <w:rPr>
          <w:rFonts w:ascii="標楷體" w:eastAsia="標楷體" w:hAnsi="標楷體"/>
          <w:color w:val="000000"/>
          <w:sz w:val="28"/>
          <w:szCs w:val="28"/>
        </w:rPr>
        <w:t>23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條、第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24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條、檢察機關辦理刑事訴訟案件應行注意事項第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134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條等程序規定、職務規定及檢察官倫理規範，具體說明其上訴符合刑事訴訟法第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377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條至第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379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條之要件，經最高法院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97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年度台上字第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1217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號判決認定其上訴不合法，顯有法官法第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89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條第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4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項第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5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及第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7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款之情事且情節重大，嚴重損害檢察機關名譽及檢察官形象，實難認其為適任之檢察官，特此，依法官法第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89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條第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1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項準用同法第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35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條第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1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項第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4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款之規定，請求對受評鑑人進行個案評鑑。</w:t>
      </w:r>
      <w:bookmarkEnd w:id="0"/>
      <w:bookmarkEnd w:id="1"/>
    </w:p>
    <w:p w:rsidR="007F16A2" w:rsidRPr="00666396" w:rsidRDefault="007F16A2" w:rsidP="00926F11">
      <w:pPr>
        <w:pStyle w:val="ab"/>
        <w:numPr>
          <w:ilvl w:val="0"/>
          <w:numId w:val="1"/>
        </w:numPr>
        <w:spacing w:line="68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bookmarkStart w:id="3" w:name="_VV139"/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按「法官個案評鑑之請求，應於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2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年內為之。前項期間，無涉法官承辦個案者，自受評鑑事實終了之日起算，牽涉法官承辦個案者，自該案件辦理終結之日起算。」「個案評鑑事件之請求，有下列情形之一者，法官評鑑委員會應為不付評鑑之決議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: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二、個案評鑑事件之請求，逾前條所定期間。」法官法第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36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條第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1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項、第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2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項前段及第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37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條第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2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款分別定有明文。又前開規定於檢察官亦準用之，為法官法第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89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條第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1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項所明定。再者，法律不溯及既往為法律適用之基本原則，如認其事項有溯及適用之必要者，即應另為明文規定，方能有所依據。查法官法就該法第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36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條既未另定得溯及適用之明文，對照同法第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52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條關於懲戒行使期日，於第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1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項但書明文規定：「但第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30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條第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2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項第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1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款情形，自依本法得付個案評鑑之日起算」，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而同法第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36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條則無此規定，自應自案件辦理終結之日起算。本件受評鑑人就臺灣高等法院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96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年度上易字第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945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號判決，係於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97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1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18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日提起上訴，則對受評鑑人請求進行個案評鑑之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2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年期間，應自該日起算，而於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99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1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18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日屆滿。本件請求評鑑人係於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102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8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26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日始請求評鑑，顯已逾期，爰依法官法第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89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條第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1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項、第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37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條第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2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款規定，為不付評鑑之決議。</w:t>
      </w:r>
      <w:bookmarkEnd w:id="3"/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另查，本會經調閱相關卷宗後發現，受評鑑人於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97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1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18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日僅聲明上訴，而未於上訴書中敘明任何具體上訴理由，且於提起第三審上訴後，迄最高法院於同年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3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20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日判決為止，亦未補提任何上訴理由，致最高法院以上訴不合法為由而駁回其上訴。最高法院並於判決理由特別指出，本件上訴「於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97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1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18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日提起上訴，並未敘述理由，迄今逾期已久，於本院未判決前仍未提出」。準此，本件受評鑑人提起本件上訴，</w:t>
      </w:r>
      <w:r w:rsidR="003A1905">
        <w:rPr>
          <w:rFonts w:ascii="標楷體" w:eastAsia="標楷體" w:hAnsi="標楷體" w:hint="eastAsia"/>
          <w:color w:val="000000"/>
          <w:sz w:val="28"/>
          <w:szCs w:val="28"/>
        </w:rPr>
        <w:t>與檢察官倫理規範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24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條及檢察機關辦理刑事訴訟案件應行注意事項第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134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條所定「檢察官應審慎監督裁判之合法與妥當。經詳閱卷證及裁判後，有相當理由認裁判有違法或不當者，應以書狀詳述不服之理由請求救濟。」、「…其上訴書，提起第三審上訴者，必須敘述理由。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…」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3A1905">
        <w:rPr>
          <w:rFonts w:ascii="標楷體" w:eastAsia="標楷體" w:hAnsi="標楷體" w:hint="eastAsia"/>
          <w:color w:val="000000"/>
          <w:sz w:val="28"/>
          <w:szCs w:val="28"/>
        </w:rPr>
        <w:t>規定，尚有不符，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併此敘明。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              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</w:p>
    <w:p w:rsidR="007F16A2" w:rsidRPr="00666396" w:rsidRDefault="007F16A2" w:rsidP="00600F66">
      <w:pPr>
        <w:spacing w:line="68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三、據上論結，應依法官法第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89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條第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1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項、第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37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條第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2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款，決議如主文。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                            </w:t>
      </w:r>
    </w:p>
    <w:p w:rsidR="007F16A2" w:rsidRPr="00666396" w:rsidRDefault="007F16A2" w:rsidP="00600F66">
      <w:pPr>
        <w:spacing w:line="680" w:lineRule="exact"/>
        <w:ind w:left="140" w:hangingChars="50" w:hanging="140"/>
        <w:rPr>
          <w:rFonts w:ascii="標楷體" w:eastAsia="標楷體" w:hAnsi="標楷體"/>
          <w:color w:val="000000"/>
          <w:sz w:val="28"/>
          <w:szCs w:val="28"/>
        </w:rPr>
      </w:pP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華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民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國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  103    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 xml:space="preserve">年　　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6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 xml:space="preserve">　月　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  30  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日</w:t>
      </w:r>
    </w:p>
    <w:p w:rsidR="007F16A2" w:rsidRPr="00666396" w:rsidRDefault="007F16A2" w:rsidP="00600F66">
      <w:pPr>
        <w:rPr>
          <w:rFonts w:ascii="標楷體" w:eastAsia="標楷體" w:hAnsi="標楷體"/>
          <w:color w:val="000000"/>
          <w:sz w:val="28"/>
          <w:szCs w:val="28"/>
        </w:rPr>
      </w:pP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         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檢察官評鑑委員會</w:t>
      </w:r>
    </w:p>
    <w:p w:rsidR="007F16A2" w:rsidRPr="00666396" w:rsidRDefault="007F16A2" w:rsidP="00600F66">
      <w:pPr>
        <w:spacing w:line="560" w:lineRule="exact"/>
        <w:rPr>
          <w:rFonts w:ascii="標楷體" w:eastAsia="標楷體" w:hAnsi="標楷體"/>
          <w:color w:val="000000"/>
          <w:sz w:val="28"/>
          <w:szCs w:val="28"/>
        </w:rPr>
      </w:pP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              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主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席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委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員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朱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  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楠</w:t>
      </w:r>
    </w:p>
    <w:p w:rsidR="007F16A2" w:rsidRPr="00666396" w:rsidRDefault="007F16A2" w:rsidP="00600F66">
      <w:pPr>
        <w:spacing w:line="560" w:lineRule="exact"/>
        <w:rPr>
          <w:rFonts w:ascii="標楷體" w:eastAsia="標楷體" w:hAnsi="標楷體"/>
          <w:color w:val="000000"/>
          <w:sz w:val="28"/>
          <w:szCs w:val="28"/>
        </w:rPr>
      </w:pP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                    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委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員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吳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光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陸</w:t>
      </w:r>
      <w:r w:rsidR="003A1905">
        <w:rPr>
          <w:rFonts w:ascii="標楷體" w:eastAsia="標楷體" w:hAnsi="標楷體" w:hint="eastAsia"/>
          <w:color w:val="000000"/>
          <w:sz w:val="28"/>
          <w:szCs w:val="28"/>
        </w:rPr>
        <w:t xml:space="preserve"> (請假)</w:t>
      </w:r>
    </w:p>
    <w:p w:rsidR="007F16A2" w:rsidRPr="00666396" w:rsidRDefault="007F16A2" w:rsidP="00600F66">
      <w:pPr>
        <w:spacing w:line="560" w:lineRule="exact"/>
        <w:rPr>
          <w:rFonts w:ascii="標楷體" w:eastAsia="標楷體" w:hAnsi="標楷體"/>
          <w:color w:val="000000"/>
          <w:sz w:val="28"/>
          <w:szCs w:val="28"/>
        </w:rPr>
      </w:pP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                    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委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員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何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明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楨</w:t>
      </w:r>
    </w:p>
    <w:p w:rsidR="007F16A2" w:rsidRPr="00666396" w:rsidRDefault="007F16A2" w:rsidP="00600F66">
      <w:pPr>
        <w:spacing w:line="560" w:lineRule="exact"/>
        <w:rPr>
          <w:rFonts w:ascii="標楷體" w:eastAsia="標楷體" w:hAnsi="標楷體"/>
          <w:color w:val="000000"/>
          <w:sz w:val="28"/>
          <w:szCs w:val="28"/>
        </w:rPr>
      </w:pP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                    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委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員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張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麗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卿</w:t>
      </w:r>
      <w:r w:rsidR="003A1905">
        <w:rPr>
          <w:rFonts w:ascii="標楷體" w:eastAsia="標楷體" w:hAnsi="標楷體" w:hint="eastAsia"/>
          <w:color w:val="000000"/>
          <w:sz w:val="28"/>
          <w:szCs w:val="28"/>
        </w:rPr>
        <w:t xml:space="preserve"> (請假)</w:t>
      </w:r>
    </w:p>
    <w:p w:rsidR="007F16A2" w:rsidRPr="00666396" w:rsidRDefault="007F16A2" w:rsidP="00600F66">
      <w:pPr>
        <w:spacing w:line="560" w:lineRule="exact"/>
        <w:rPr>
          <w:rFonts w:ascii="標楷體" w:eastAsia="標楷體" w:hAnsi="標楷體"/>
          <w:color w:val="000000"/>
          <w:sz w:val="28"/>
          <w:szCs w:val="28"/>
        </w:rPr>
      </w:pP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                    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委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員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詹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森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林</w:t>
      </w:r>
    </w:p>
    <w:p w:rsidR="007F16A2" w:rsidRPr="00666396" w:rsidRDefault="007F16A2" w:rsidP="00600F66">
      <w:pPr>
        <w:spacing w:line="560" w:lineRule="exact"/>
        <w:rPr>
          <w:rFonts w:ascii="標楷體" w:eastAsia="標楷體" w:hAnsi="標楷體"/>
          <w:color w:val="000000"/>
          <w:sz w:val="28"/>
          <w:szCs w:val="28"/>
        </w:rPr>
      </w:pP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                    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委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員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蔡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明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誠</w:t>
      </w:r>
    </w:p>
    <w:p w:rsidR="007F16A2" w:rsidRPr="00666396" w:rsidRDefault="007F16A2" w:rsidP="00600F66">
      <w:pPr>
        <w:spacing w:line="560" w:lineRule="exact"/>
        <w:rPr>
          <w:rFonts w:ascii="標楷體" w:eastAsia="標楷體" w:hAnsi="標楷體"/>
          <w:color w:val="000000"/>
          <w:sz w:val="28"/>
          <w:szCs w:val="28"/>
        </w:rPr>
      </w:pP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                    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委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員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蔡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烱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燉</w:t>
      </w:r>
    </w:p>
    <w:p w:rsidR="007F16A2" w:rsidRPr="00666396" w:rsidRDefault="007F16A2" w:rsidP="00600F66">
      <w:pPr>
        <w:spacing w:line="560" w:lineRule="exact"/>
        <w:rPr>
          <w:rFonts w:ascii="標楷體" w:eastAsia="標楷體" w:hAnsi="標楷體"/>
          <w:color w:val="000000"/>
          <w:sz w:val="28"/>
          <w:szCs w:val="28"/>
        </w:rPr>
      </w:pP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                    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委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員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蔡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鴻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杰</w:t>
      </w:r>
    </w:p>
    <w:p w:rsidR="007F16A2" w:rsidRPr="00666396" w:rsidRDefault="007F16A2" w:rsidP="00600F66">
      <w:pPr>
        <w:spacing w:line="560" w:lineRule="exact"/>
        <w:rPr>
          <w:rFonts w:ascii="標楷體" w:eastAsia="標楷體" w:hAnsi="標楷體"/>
          <w:color w:val="000000"/>
          <w:sz w:val="28"/>
          <w:szCs w:val="28"/>
        </w:rPr>
      </w:pP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                    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委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員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鄭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瑞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隆</w:t>
      </w:r>
      <w:r w:rsidR="003A1905">
        <w:rPr>
          <w:rFonts w:ascii="標楷體" w:eastAsia="標楷體" w:hAnsi="標楷體" w:hint="eastAsia"/>
          <w:color w:val="000000"/>
          <w:sz w:val="28"/>
          <w:szCs w:val="28"/>
        </w:rPr>
        <w:t xml:space="preserve"> (請假)</w:t>
      </w:r>
    </w:p>
    <w:p w:rsidR="007F16A2" w:rsidRPr="00666396" w:rsidRDefault="007F16A2" w:rsidP="00600F66">
      <w:pPr>
        <w:spacing w:line="560" w:lineRule="exact"/>
        <w:ind w:firstLineChars="1200" w:firstLine="33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委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員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羅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秉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成</w:t>
      </w:r>
    </w:p>
    <w:p w:rsidR="007F16A2" w:rsidRPr="00666396" w:rsidRDefault="007F16A2" w:rsidP="00600F66">
      <w:pPr>
        <w:spacing w:line="560" w:lineRule="exact"/>
        <w:rPr>
          <w:rFonts w:ascii="標楷體" w:eastAsia="標楷體" w:hAnsi="標楷體"/>
          <w:color w:val="000000"/>
          <w:sz w:val="28"/>
          <w:szCs w:val="28"/>
        </w:rPr>
      </w:pP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                    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委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員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蘇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佩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鈺</w:t>
      </w:r>
    </w:p>
    <w:p w:rsidR="007F16A2" w:rsidRPr="00666396" w:rsidRDefault="007F16A2" w:rsidP="00600F66">
      <w:pPr>
        <w:pStyle w:val="a9"/>
        <w:ind w:firstLine="280"/>
        <w:rPr>
          <w:rFonts w:ascii="標楷體" w:eastAsia="標楷體" w:hAnsi="標楷體"/>
          <w:color w:val="000000"/>
          <w:sz w:val="28"/>
          <w:szCs w:val="28"/>
        </w:rPr>
      </w:pP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（依委員之姓名筆劃由少至多排列）以上正本係照原本作成。</w:t>
      </w:r>
    </w:p>
    <w:p w:rsidR="007F16A2" w:rsidRPr="00666396" w:rsidRDefault="007F16A2" w:rsidP="00600F66">
      <w:pPr>
        <w:pStyle w:val="a5"/>
        <w:rPr>
          <w:rFonts w:ascii="標楷體" w:eastAsia="標楷體" w:hAnsi="標楷體"/>
          <w:color w:val="000000"/>
          <w:sz w:val="28"/>
          <w:szCs w:val="28"/>
        </w:rPr>
      </w:pP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 xml:space="preserve">中　　華　　民　　國　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103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6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 xml:space="preserve">　月　</w:t>
      </w:r>
      <w:r w:rsidRPr="00666396">
        <w:rPr>
          <w:rFonts w:ascii="標楷體" w:eastAsia="標楷體" w:hAnsi="標楷體"/>
          <w:color w:val="000000"/>
          <w:sz w:val="28"/>
          <w:szCs w:val="28"/>
        </w:rPr>
        <w:t>30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日</w:t>
      </w:r>
    </w:p>
    <w:p w:rsidR="007F16A2" w:rsidRPr="00666396" w:rsidRDefault="007F16A2" w:rsidP="00600F66">
      <w:pPr>
        <w:pStyle w:val="a9"/>
        <w:ind w:firstLineChars="0" w:firstLine="0"/>
        <w:rPr>
          <w:rFonts w:ascii="標楷體" w:eastAsia="標楷體" w:hAnsi="標楷體"/>
          <w:color w:val="000000"/>
          <w:sz w:val="28"/>
          <w:szCs w:val="28"/>
        </w:rPr>
      </w:pP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                      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書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記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林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馥</w:t>
      </w:r>
      <w:r w:rsidRPr="0066639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666396">
        <w:rPr>
          <w:rFonts w:ascii="標楷體" w:eastAsia="標楷體" w:hAnsi="標楷體" w:hint="eastAsia"/>
          <w:color w:val="000000"/>
          <w:sz w:val="28"/>
          <w:szCs w:val="28"/>
        </w:rPr>
        <w:t>菁</w:t>
      </w:r>
    </w:p>
    <w:p w:rsidR="007F16A2" w:rsidRPr="00666396" w:rsidRDefault="007F16A2">
      <w:pPr>
        <w:rPr>
          <w:color w:val="000000"/>
        </w:rPr>
      </w:pPr>
    </w:p>
    <w:sectPr w:rsidR="007F16A2" w:rsidRPr="00666396" w:rsidSect="007842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644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CCD" w:rsidRDefault="00B67CCD">
      <w:r>
        <w:separator/>
      </w:r>
    </w:p>
  </w:endnote>
  <w:endnote w:type="continuationSeparator" w:id="0">
    <w:p w:rsidR="00B67CCD" w:rsidRDefault="00B6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1F1" w:rsidRDefault="004B51F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6A2" w:rsidRDefault="00B67CC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B67CCD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F16A2" w:rsidRDefault="007F16A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1F1" w:rsidRDefault="004B51F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CCD" w:rsidRDefault="00B67CCD">
      <w:r>
        <w:separator/>
      </w:r>
    </w:p>
  </w:footnote>
  <w:footnote w:type="continuationSeparator" w:id="0">
    <w:p w:rsidR="00B67CCD" w:rsidRDefault="00B67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1F1" w:rsidRDefault="00B67CCD">
    <w:pPr>
      <w:pStyle w:val="a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742782" o:spid="_x0000_s2050" type="#_x0000_t136" style="position:absolute;margin-left:0;margin-top:0;width:497.25pt;height:99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公告發布用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1F1" w:rsidRDefault="00B67CCD">
    <w:pPr>
      <w:pStyle w:val="a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742783" o:spid="_x0000_s2051" type="#_x0000_t136" style="position:absolute;margin-left:0;margin-top:0;width:497.25pt;height:99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公告發布用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1F1" w:rsidRDefault="00B67CCD">
    <w:pPr>
      <w:pStyle w:val="a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742781" o:spid="_x0000_s2049" type="#_x0000_t136" style="position:absolute;margin-left:0;margin-top:0;width:497.25pt;height:99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公告發布用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47BB2"/>
    <w:multiLevelType w:val="hybridMultilevel"/>
    <w:tmpl w:val="8FC62C28"/>
    <w:lvl w:ilvl="0" w:tplc="5108FAC8">
      <w:start w:val="1"/>
      <w:numFmt w:val="taiwaneseCountingThousand"/>
      <w:lvlText w:val="%1、"/>
      <w:lvlJc w:val="left"/>
      <w:pPr>
        <w:ind w:left="6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66"/>
    <w:rsid w:val="0007151E"/>
    <w:rsid w:val="0016614F"/>
    <w:rsid w:val="0019153A"/>
    <w:rsid w:val="001A4FD0"/>
    <w:rsid w:val="001B15E6"/>
    <w:rsid w:val="00262E8C"/>
    <w:rsid w:val="00300FFA"/>
    <w:rsid w:val="003A1905"/>
    <w:rsid w:val="004751A7"/>
    <w:rsid w:val="004B51F1"/>
    <w:rsid w:val="005B7F86"/>
    <w:rsid w:val="005C461E"/>
    <w:rsid w:val="00600F66"/>
    <w:rsid w:val="00616B09"/>
    <w:rsid w:val="00666396"/>
    <w:rsid w:val="006E67A1"/>
    <w:rsid w:val="006F7A14"/>
    <w:rsid w:val="0075670E"/>
    <w:rsid w:val="00784228"/>
    <w:rsid w:val="007F16A2"/>
    <w:rsid w:val="00832FAD"/>
    <w:rsid w:val="008B0A28"/>
    <w:rsid w:val="00926F11"/>
    <w:rsid w:val="00A5211E"/>
    <w:rsid w:val="00B37130"/>
    <w:rsid w:val="00B67CCD"/>
    <w:rsid w:val="00BA2DAB"/>
    <w:rsid w:val="00C5078D"/>
    <w:rsid w:val="00C80264"/>
    <w:rsid w:val="00CC44C5"/>
    <w:rsid w:val="00D36D8A"/>
    <w:rsid w:val="00D549CF"/>
    <w:rsid w:val="00DC61C4"/>
    <w:rsid w:val="00DD5464"/>
    <w:rsid w:val="00DE5B94"/>
    <w:rsid w:val="00E57629"/>
    <w:rsid w:val="00E638F0"/>
    <w:rsid w:val="00EF5432"/>
    <w:rsid w:val="00F56F05"/>
    <w:rsid w:val="00FA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66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0F6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600F66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Date"/>
    <w:basedOn w:val="a"/>
    <w:next w:val="a"/>
    <w:link w:val="a6"/>
    <w:uiPriority w:val="99"/>
    <w:rsid w:val="00600F66"/>
    <w:pPr>
      <w:jc w:val="right"/>
    </w:pPr>
    <w:rPr>
      <w:kern w:val="0"/>
      <w:sz w:val="20"/>
    </w:rPr>
  </w:style>
  <w:style w:type="character" w:customStyle="1" w:styleId="a6">
    <w:name w:val="日期 字元"/>
    <w:basedOn w:val="a0"/>
    <w:link w:val="a5"/>
    <w:uiPriority w:val="99"/>
    <w:locked/>
    <w:rsid w:val="00600F66"/>
    <w:rPr>
      <w:rFonts w:ascii="Times New Roman" w:eastAsia="新細明體" w:hAnsi="Times New Roman" w:cs="Times New Roman"/>
      <w:kern w:val="0"/>
      <w:sz w:val="24"/>
      <w:szCs w:val="24"/>
    </w:rPr>
  </w:style>
  <w:style w:type="paragraph" w:styleId="a7">
    <w:name w:val="Body Text"/>
    <w:basedOn w:val="a"/>
    <w:link w:val="a8"/>
    <w:uiPriority w:val="99"/>
    <w:semiHidden/>
    <w:rsid w:val="00600F66"/>
    <w:pPr>
      <w:spacing w:after="120"/>
    </w:pPr>
  </w:style>
  <w:style w:type="character" w:customStyle="1" w:styleId="a8">
    <w:name w:val="本文 字元"/>
    <w:basedOn w:val="a0"/>
    <w:link w:val="a7"/>
    <w:uiPriority w:val="99"/>
    <w:semiHidden/>
    <w:locked/>
    <w:rsid w:val="00600F66"/>
    <w:rPr>
      <w:rFonts w:ascii="Times New Roman" w:eastAsia="新細明體" w:hAnsi="Times New Roman" w:cs="Times New Roman"/>
      <w:sz w:val="24"/>
      <w:szCs w:val="24"/>
    </w:rPr>
  </w:style>
  <w:style w:type="paragraph" w:styleId="a9">
    <w:name w:val="Body Text First Indent"/>
    <w:basedOn w:val="a7"/>
    <w:link w:val="aa"/>
    <w:uiPriority w:val="99"/>
    <w:rsid w:val="00600F66"/>
    <w:pPr>
      <w:ind w:firstLineChars="100" w:firstLine="210"/>
    </w:pPr>
    <w:rPr>
      <w:kern w:val="0"/>
      <w:sz w:val="20"/>
    </w:rPr>
  </w:style>
  <w:style w:type="character" w:customStyle="1" w:styleId="aa">
    <w:name w:val="本文第一層縮排 字元"/>
    <w:basedOn w:val="a8"/>
    <w:link w:val="a9"/>
    <w:uiPriority w:val="99"/>
    <w:locked/>
    <w:rsid w:val="00600F66"/>
    <w:rPr>
      <w:rFonts w:ascii="Times New Roman" w:eastAsia="新細明體" w:hAnsi="Times New Roman" w:cs="Times New Roman"/>
      <w:kern w:val="0"/>
      <w:sz w:val="24"/>
      <w:szCs w:val="24"/>
    </w:rPr>
  </w:style>
  <w:style w:type="paragraph" w:styleId="ab">
    <w:name w:val="List Paragraph"/>
    <w:basedOn w:val="a"/>
    <w:uiPriority w:val="99"/>
    <w:qFormat/>
    <w:rsid w:val="00262E8C"/>
    <w:pPr>
      <w:ind w:leftChars="200" w:left="480"/>
    </w:pPr>
  </w:style>
  <w:style w:type="paragraph" w:styleId="ac">
    <w:name w:val="Balloon Text"/>
    <w:basedOn w:val="a"/>
    <w:link w:val="ad"/>
    <w:uiPriority w:val="99"/>
    <w:semiHidden/>
    <w:rsid w:val="00832FAD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832FAD"/>
    <w:rPr>
      <w:rFonts w:ascii="Calibri Light" w:eastAsia="新細明體" w:hAnsi="Calibri Light" w:cs="Times New Roman"/>
      <w:sz w:val="18"/>
      <w:szCs w:val="18"/>
    </w:rPr>
  </w:style>
  <w:style w:type="paragraph" w:styleId="ae">
    <w:name w:val="header"/>
    <w:basedOn w:val="a"/>
    <w:link w:val="af"/>
    <w:uiPriority w:val="99"/>
    <w:rsid w:val="00A52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semiHidden/>
    <w:rsid w:val="00594C68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66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0F6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600F66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Date"/>
    <w:basedOn w:val="a"/>
    <w:next w:val="a"/>
    <w:link w:val="a6"/>
    <w:uiPriority w:val="99"/>
    <w:rsid w:val="00600F66"/>
    <w:pPr>
      <w:jc w:val="right"/>
    </w:pPr>
    <w:rPr>
      <w:kern w:val="0"/>
      <w:sz w:val="20"/>
    </w:rPr>
  </w:style>
  <w:style w:type="character" w:customStyle="1" w:styleId="a6">
    <w:name w:val="日期 字元"/>
    <w:basedOn w:val="a0"/>
    <w:link w:val="a5"/>
    <w:uiPriority w:val="99"/>
    <w:locked/>
    <w:rsid w:val="00600F66"/>
    <w:rPr>
      <w:rFonts w:ascii="Times New Roman" w:eastAsia="新細明體" w:hAnsi="Times New Roman" w:cs="Times New Roman"/>
      <w:kern w:val="0"/>
      <w:sz w:val="24"/>
      <w:szCs w:val="24"/>
    </w:rPr>
  </w:style>
  <w:style w:type="paragraph" w:styleId="a7">
    <w:name w:val="Body Text"/>
    <w:basedOn w:val="a"/>
    <w:link w:val="a8"/>
    <w:uiPriority w:val="99"/>
    <w:semiHidden/>
    <w:rsid w:val="00600F66"/>
    <w:pPr>
      <w:spacing w:after="120"/>
    </w:pPr>
  </w:style>
  <w:style w:type="character" w:customStyle="1" w:styleId="a8">
    <w:name w:val="本文 字元"/>
    <w:basedOn w:val="a0"/>
    <w:link w:val="a7"/>
    <w:uiPriority w:val="99"/>
    <w:semiHidden/>
    <w:locked/>
    <w:rsid w:val="00600F66"/>
    <w:rPr>
      <w:rFonts w:ascii="Times New Roman" w:eastAsia="新細明體" w:hAnsi="Times New Roman" w:cs="Times New Roman"/>
      <w:sz w:val="24"/>
      <w:szCs w:val="24"/>
    </w:rPr>
  </w:style>
  <w:style w:type="paragraph" w:styleId="a9">
    <w:name w:val="Body Text First Indent"/>
    <w:basedOn w:val="a7"/>
    <w:link w:val="aa"/>
    <w:uiPriority w:val="99"/>
    <w:rsid w:val="00600F66"/>
    <w:pPr>
      <w:ind w:firstLineChars="100" w:firstLine="210"/>
    </w:pPr>
    <w:rPr>
      <w:kern w:val="0"/>
      <w:sz w:val="20"/>
    </w:rPr>
  </w:style>
  <w:style w:type="character" w:customStyle="1" w:styleId="aa">
    <w:name w:val="本文第一層縮排 字元"/>
    <w:basedOn w:val="a8"/>
    <w:link w:val="a9"/>
    <w:uiPriority w:val="99"/>
    <w:locked/>
    <w:rsid w:val="00600F66"/>
    <w:rPr>
      <w:rFonts w:ascii="Times New Roman" w:eastAsia="新細明體" w:hAnsi="Times New Roman" w:cs="Times New Roman"/>
      <w:kern w:val="0"/>
      <w:sz w:val="24"/>
      <w:szCs w:val="24"/>
    </w:rPr>
  </w:style>
  <w:style w:type="paragraph" w:styleId="ab">
    <w:name w:val="List Paragraph"/>
    <w:basedOn w:val="a"/>
    <w:uiPriority w:val="99"/>
    <w:qFormat/>
    <w:rsid w:val="00262E8C"/>
    <w:pPr>
      <w:ind w:leftChars="200" w:left="480"/>
    </w:pPr>
  </w:style>
  <w:style w:type="paragraph" w:styleId="ac">
    <w:name w:val="Balloon Text"/>
    <w:basedOn w:val="a"/>
    <w:link w:val="ad"/>
    <w:uiPriority w:val="99"/>
    <w:semiHidden/>
    <w:rsid w:val="00832FAD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832FAD"/>
    <w:rPr>
      <w:rFonts w:ascii="Calibri Light" w:eastAsia="新細明體" w:hAnsi="Calibri Light" w:cs="Times New Roman"/>
      <w:sz w:val="18"/>
      <w:szCs w:val="18"/>
    </w:rPr>
  </w:style>
  <w:style w:type="paragraph" w:styleId="ae">
    <w:name w:val="header"/>
    <w:basedOn w:val="a"/>
    <w:link w:val="af"/>
    <w:uiPriority w:val="99"/>
    <w:rsid w:val="00A52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semiHidden/>
    <w:rsid w:val="00594C68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400</Words>
  <Characters>2285</Characters>
  <Application>Microsoft Office Word</Application>
  <DocSecurity>0</DocSecurity>
  <Lines>19</Lines>
  <Paragraphs>5</Paragraphs>
  <ScaleCrop>false</ScaleCrop>
  <Company>MOJ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檢察官評鑑委員會評鑑決議書</dc:title>
  <dc:creator>詹森林 ShengLin Jan</dc:creator>
  <cp:lastModifiedBy>MOJ</cp:lastModifiedBy>
  <cp:revision>2</cp:revision>
  <cp:lastPrinted>2014-07-04T06:06:00Z</cp:lastPrinted>
  <dcterms:created xsi:type="dcterms:W3CDTF">2014-12-27T03:05:00Z</dcterms:created>
  <dcterms:modified xsi:type="dcterms:W3CDTF">2014-12-27T03:05:00Z</dcterms:modified>
</cp:coreProperties>
</file>