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33F" w:rsidRDefault="0065733F" w:rsidP="0065733F">
      <w:pPr>
        <w:spacing w:after="0" w:line="462" w:lineRule="exact"/>
        <w:ind w:left="1163" w:right="1189"/>
        <w:rPr>
          <w:rFonts w:ascii="標楷體" w:eastAsia="標楷體" w:hAnsi="標楷體" w:cs="標楷體"/>
          <w:sz w:val="36"/>
          <w:szCs w:val="36"/>
          <w:lang w:eastAsia="zh-TW"/>
        </w:rPr>
      </w:pPr>
      <w:r>
        <w:rPr>
          <w:rFonts w:ascii="標楷體" w:eastAsia="標楷體" w:hAnsi="標楷體" w:cs="標楷體"/>
          <w:position w:val="-2"/>
          <w:sz w:val="36"/>
          <w:szCs w:val="36"/>
          <w:lang w:eastAsia="zh-TW"/>
        </w:rPr>
        <w:t>海峽</w:t>
      </w:r>
      <w:r>
        <w:rPr>
          <w:rFonts w:ascii="標楷體" w:eastAsia="標楷體" w:hAnsi="標楷體" w:cs="標楷體"/>
          <w:spacing w:val="2"/>
          <w:position w:val="-2"/>
          <w:sz w:val="36"/>
          <w:szCs w:val="36"/>
          <w:lang w:eastAsia="zh-TW"/>
        </w:rPr>
        <w:t>兩</w:t>
      </w:r>
      <w:r>
        <w:rPr>
          <w:rFonts w:ascii="標楷體" w:eastAsia="標楷體" w:hAnsi="標楷體" w:cs="標楷體"/>
          <w:position w:val="-2"/>
          <w:sz w:val="36"/>
          <w:szCs w:val="36"/>
          <w:lang w:eastAsia="zh-TW"/>
        </w:rPr>
        <w:t>岸重要訊息</w:t>
      </w:r>
      <w:r>
        <w:rPr>
          <w:rFonts w:ascii="標楷體" w:eastAsia="標楷體" w:hAnsi="標楷體" w:cs="標楷體"/>
          <w:spacing w:val="2"/>
          <w:position w:val="-2"/>
          <w:sz w:val="36"/>
          <w:szCs w:val="36"/>
          <w:lang w:eastAsia="zh-TW"/>
        </w:rPr>
        <w:t>通</w:t>
      </w:r>
      <w:r>
        <w:rPr>
          <w:rFonts w:ascii="標楷體" w:eastAsia="標楷體" w:hAnsi="標楷體" w:cs="標楷體"/>
          <w:position w:val="-2"/>
          <w:sz w:val="36"/>
          <w:szCs w:val="36"/>
          <w:lang w:eastAsia="zh-TW"/>
        </w:rPr>
        <w:t>報及通知作</w:t>
      </w:r>
      <w:r>
        <w:rPr>
          <w:rFonts w:ascii="標楷體" w:eastAsia="標楷體" w:hAnsi="標楷體" w:cs="標楷體"/>
          <w:spacing w:val="2"/>
          <w:position w:val="-2"/>
          <w:sz w:val="36"/>
          <w:szCs w:val="36"/>
          <w:lang w:eastAsia="zh-TW"/>
        </w:rPr>
        <w:t>業</w:t>
      </w:r>
      <w:r>
        <w:rPr>
          <w:rFonts w:ascii="標楷體" w:eastAsia="標楷體" w:hAnsi="標楷體" w:cs="標楷體"/>
          <w:position w:val="-2"/>
          <w:sz w:val="36"/>
          <w:szCs w:val="36"/>
          <w:lang w:eastAsia="zh-TW"/>
        </w:rPr>
        <w:t>要點</w:t>
      </w:r>
    </w:p>
    <w:p w:rsidR="0065733F" w:rsidRDefault="0065733F" w:rsidP="0065733F">
      <w:pPr>
        <w:spacing w:before="4" w:after="0" w:line="190" w:lineRule="exact"/>
        <w:rPr>
          <w:sz w:val="19"/>
          <w:szCs w:val="19"/>
          <w:lang w:eastAsia="zh-TW"/>
        </w:rPr>
      </w:pPr>
    </w:p>
    <w:p w:rsidR="0065733F" w:rsidRPr="00942DA7" w:rsidRDefault="0065733F" w:rsidP="0065733F">
      <w:pPr>
        <w:tabs>
          <w:tab w:val="left" w:pos="4680"/>
        </w:tabs>
        <w:spacing w:after="0" w:line="242" w:lineRule="auto"/>
        <w:ind w:right="956"/>
        <w:rPr>
          <w:rFonts w:ascii="標楷體" w:eastAsia="標楷體" w:hAnsi="標楷體" w:cs="標楷體"/>
          <w:sz w:val="16"/>
          <w:szCs w:val="16"/>
          <w:lang w:eastAsia="zh-TW"/>
        </w:rPr>
      </w:pPr>
    </w:p>
    <w:p w:rsidR="0065733F" w:rsidRPr="00EA3B42" w:rsidRDefault="0065733F" w:rsidP="0065733F">
      <w:pPr>
        <w:pStyle w:val="a3"/>
        <w:numPr>
          <w:ilvl w:val="0"/>
          <w:numId w:val="1"/>
        </w:numPr>
        <w:tabs>
          <w:tab w:val="left" w:pos="4680"/>
        </w:tabs>
        <w:spacing w:after="0" w:line="242" w:lineRule="auto"/>
        <w:ind w:leftChars="0" w:right="133"/>
        <w:rPr>
          <w:rFonts w:ascii="標楷體" w:eastAsia="標楷體" w:hAnsi="標楷體" w:cs="標楷體"/>
          <w:sz w:val="24"/>
          <w:szCs w:val="24"/>
          <w:lang w:eastAsia="zh-TW"/>
        </w:rPr>
      </w:pPr>
      <w:r w:rsidRPr="00EA3B42">
        <w:rPr>
          <w:rFonts w:ascii="標楷體" w:eastAsia="標楷體" w:hAnsi="標楷體" w:cs="標楷體"/>
          <w:sz w:val="24"/>
          <w:szCs w:val="24"/>
          <w:lang w:eastAsia="zh-TW"/>
        </w:rPr>
        <w:t>為妥適執行「海峽兩岸共同打擊犯罪及司法互助協議」（以下簡稱「兩岸司法互助協議」）、「海峽兩岸投資保障和促進協議」及「海基會與海協會有關『海峽兩岸投資保障和促進協議』人身自由與安全保障共識」（以下簡稱「兩岸投保協議之人身保障共識」）有關重要訊息通報及限制人身自由通知之規定，特訂定本要點。</w:t>
      </w:r>
    </w:p>
    <w:p w:rsidR="0065733F" w:rsidRDefault="0065733F" w:rsidP="0065733F">
      <w:pPr>
        <w:tabs>
          <w:tab w:val="left" w:pos="4680"/>
        </w:tabs>
        <w:spacing w:after="0" w:line="242" w:lineRule="auto"/>
        <w:ind w:right="956"/>
        <w:rPr>
          <w:rFonts w:ascii="標楷體" w:eastAsia="標楷體" w:hAnsi="標楷體" w:cs="標楷體"/>
          <w:sz w:val="24"/>
          <w:szCs w:val="24"/>
          <w:lang w:eastAsia="zh-TW"/>
        </w:rPr>
      </w:pPr>
    </w:p>
    <w:p w:rsidR="0065733F" w:rsidRDefault="0065733F" w:rsidP="0065733F">
      <w:pPr>
        <w:spacing w:after="0" w:line="336" w:lineRule="exact"/>
        <w:ind w:left="209"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二、本要點用詞，定義如下：</w:t>
      </w:r>
    </w:p>
    <w:p w:rsidR="0065733F" w:rsidRDefault="0065733F" w:rsidP="0065733F">
      <w:pPr>
        <w:spacing w:before="24" w:after="0" w:line="360" w:lineRule="exact"/>
        <w:ind w:left="1080" w:right="266" w:hanging="480"/>
        <w:rPr>
          <w:rFonts w:ascii="標楷體" w:eastAsia="標楷體" w:hAnsi="標楷體" w:cs="標楷體"/>
          <w:sz w:val="24"/>
          <w:szCs w:val="24"/>
          <w:lang w:eastAsia="zh-TW"/>
        </w:rPr>
      </w:pPr>
      <w:r>
        <w:rPr>
          <w:rFonts w:ascii="標楷體" w:eastAsia="標楷體" w:hAnsi="標楷體" w:cs="標楷體"/>
          <w:sz w:val="24"/>
          <w:szCs w:val="24"/>
          <w:lang w:eastAsia="zh-TW"/>
        </w:rPr>
        <w:t>(一)通</w:t>
      </w:r>
      <w:r>
        <w:rPr>
          <w:rFonts w:ascii="標楷體" w:eastAsia="標楷體" w:hAnsi="標楷體" w:cs="標楷體"/>
          <w:spacing w:val="-24"/>
          <w:sz w:val="24"/>
          <w:szCs w:val="24"/>
          <w:lang w:eastAsia="zh-TW"/>
        </w:rPr>
        <w:t>報：</w:t>
      </w:r>
      <w:r>
        <w:rPr>
          <w:rFonts w:ascii="標楷體" w:eastAsia="標楷體" w:hAnsi="標楷體" w:cs="標楷體"/>
          <w:sz w:val="24"/>
          <w:szCs w:val="24"/>
          <w:lang w:eastAsia="zh-TW"/>
        </w:rPr>
        <w:t>指依兩岸司法互助協議第十二條規</w:t>
      </w:r>
      <w:r>
        <w:rPr>
          <w:rFonts w:ascii="標楷體" w:eastAsia="標楷體" w:hAnsi="標楷體" w:cs="標楷體"/>
          <w:spacing w:val="-24"/>
          <w:sz w:val="24"/>
          <w:szCs w:val="24"/>
          <w:lang w:eastAsia="zh-TW"/>
        </w:rPr>
        <w:t>定，</w:t>
      </w:r>
      <w:r>
        <w:rPr>
          <w:rFonts w:ascii="標楷體" w:eastAsia="標楷體" w:hAnsi="標楷體" w:cs="標楷體"/>
          <w:sz w:val="24"/>
          <w:szCs w:val="24"/>
          <w:lang w:eastAsia="zh-TW"/>
        </w:rPr>
        <w:t>由法務部與大陸地區主管機關執行之重要訊息聯繫事宜。</w:t>
      </w:r>
    </w:p>
    <w:p w:rsidR="0065733F" w:rsidRDefault="0065733F" w:rsidP="0065733F">
      <w:pPr>
        <w:spacing w:after="0" w:line="360" w:lineRule="exact"/>
        <w:ind w:left="1080" w:right="266" w:hanging="480"/>
        <w:rPr>
          <w:rFonts w:ascii="標楷體" w:eastAsia="標楷體" w:hAnsi="標楷體" w:cs="標楷體"/>
          <w:sz w:val="24"/>
          <w:szCs w:val="24"/>
          <w:lang w:eastAsia="zh-TW"/>
        </w:rPr>
      </w:pPr>
      <w:r>
        <w:rPr>
          <w:rFonts w:ascii="標楷體" w:eastAsia="標楷體" w:hAnsi="標楷體" w:cs="標楷體"/>
          <w:sz w:val="24"/>
          <w:szCs w:val="24"/>
          <w:lang w:eastAsia="zh-TW"/>
        </w:rPr>
        <w:t>(二)通</w:t>
      </w:r>
      <w:r>
        <w:rPr>
          <w:rFonts w:ascii="標楷體" w:eastAsia="標楷體" w:hAnsi="標楷體" w:cs="標楷體"/>
          <w:spacing w:val="-24"/>
          <w:sz w:val="24"/>
          <w:szCs w:val="24"/>
          <w:lang w:eastAsia="zh-TW"/>
        </w:rPr>
        <w:t>知：</w:t>
      </w:r>
      <w:r>
        <w:rPr>
          <w:rFonts w:ascii="標楷體" w:eastAsia="標楷體" w:hAnsi="標楷體" w:cs="標楷體"/>
          <w:sz w:val="24"/>
          <w:szCs w:val="24"/>
          <w:lang w:eastAsia="zh-TW"/>
        </w:rPr>
        <w:t>指依兩岸投保協議之人身保障共識規</w:t>
      </w:r>
      <w:r>
        <w:rPr>
          <w:rFonts w:ascii="標楷體" w:eastAsia="標楷體" w:hAnsi="標楷體" w:cs="標楷體"/>
          <w:spacing w:val="-24"/>
          <w:sz w:val="24"/>
          <w:szCs w:val="24"/>
          <w:lang w:eastAsia="zh-TW"/>
        </w:rPr>
        <w:t>定，</w:t>
      </w:r>
      <w:r>
        <w:rPr>
          <w:rFonts w:ascii="標楷體" w:eastAsia="標楷體" w:hAnsi="標楷體" w:cs="標楷體"/>
          <w:sz w:val="24"/>
          <w:szCs w:val="24"/>
          <w:lang w:eastAsia="zh-TW"/>
        </w:rPr>
        <w:t>由法務部所屬機關及司法警察機關與大陸地區公安機關對在己方領域內之他方投資人及相關人員，依法採取強制措施限制其人身自由時之聯繫事宜。</w:t>
      </w:r>
    </w:p>
    <w:p w:rsidR="0065733F" w:rsidRDefault="0065733F" w:rsidP="0065733F">
      <w:pPr>
        <w:spacing w:after="0" w:line="336" w:lineRule="exact"/>
        <w:ind w:left="600"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(三)重要訊息包含下列事項：</w:t>
      </w:r>
    </w:p>
    <w:p w:rsidR="0065733F" w:rsidRDefault="0065733F" w:rsidP="0065733F">
      <w:pPr>
        <w:spacing w:after="0" w:line="360" w:lineRule="exact"/>
        <w:ind w:left="1320"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1.拘提、逮捕、羈押、管收等依法限制人身自由之情形。</w:t>
      </w:r>
    </w:p>
    <w:p w:rsidR="0065733F" w:rsidRDefault="0065733F" w:rsidP="0065733F">
      <w:pPr>
        <w:spacing w:after="0" w:line="360" w:lineRule="exact"/>
        <w:ind w:left="1320"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2.非病死或可疑為非病死。</w:t>
      </w:r>
    </w:p>
    <w:p w:rsidR="0065733F" w:rsidRDefault="0065733F" w:rsidP="0065733F">
      <w:pPr>
        <w:spacing w:after="0" w:line="360" w:lineRule="exact"/>
        <w:ind w:left="1320"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3.其他經法務部認有必要及時通報之訊息。</w:t>
      </w:r>
    </w:p>
    <w:p w:rsidR="0065733F" w:rsidRDefault="0065733F" w:rsidP="0065733F">
      <w:pPr>
        <w:spacing w:before="24" w:after="0" w:line="360" w:lineRule="exact"/>
        <w:ind w:left="1080" w:right="264" w:hanging="480"/>
        <w:rPr>
          <w:rFonts w:ascii="標楷體" w:eastAsia="標楷體" w:hAnsi="標楷體" w:cs="標楷體"/>
          <w:sz w:val="24"/>
          <w:szCs w:val="24"/>
          <w:lang w:eastAsia="zh-TW"/>
        </w:rPr>
      </w:pPr>
      <w:r>
        <w:rPr>
          <w:rFonts w:ascii="標楷體" w:eastAsia="標楷體" w:hAnsi="標楷體" w:cs="標楷體"/>
          <w:sz w:val="24"/>
          <w:szCs w:val="24"/>
          <w:lang w:eastAsia="zh-TW"/>
        </w:rPr>
        <w:t>(四)大陸地區主管機</w:t>
      </w:r>
      <w:r>
        <w:rPr>
          <w:rFonts w:ascii="標楷體" w:eastAsia="標楷體" w:hAnsi="標楷體" w:cs="標楷體"/>
          <w:spacing w:val="-17"/>
          <w:sz w:val="24"/>
          <w:szCs w:val="24"/>
          <w:lang w:eastAsia="zh-TW"/>
        </w:rPr>
        <w:t>關：</w:t>
      </w:r>
      <w:r>
        <w:rPr>
          <w:rFonts w:ascii="標楷體" w:eastAsia="標楷體" w:hAnsi="標楷體" w:cs="標楷體"/>
          <w:spacing w:val="2"/>
          <w:sz w:val="24"/>
          <w:szCs w:val="24"/>
          <w:lang w:eastAsia="zh-TW"/>
        </w:rPr>
        <w:t>指</w:t>
      </w:r>
      <w:r>
        <w:rPr>
          <w:rFonts w:ascii="標楷體" w:eastAsia="標楷體" w:hAnsi="標楷體" w:cs="標楷體"/>
          <w:sz w:val="24"/>
          <w:szCs w:val="24"/>
          <w:lang w:eastAsia="zh-TW"/>
        </w:rPr>
        <w:t>大陸地區最高人民法</w:t>
      </w:r>
      <w:r>
        <w:rPr>
          <w:rFonts w:ascii="標楷體" w:eastAsia="標楷體" w:hAnsi="標楷體" w:cs="標楷體"/>
          <w:spacing w:val="-17"/>
          <w:sz w:val="24"/>
          <w:szCs w:val="24"/>
          <w:lang w:eastAsia="zh-TW"/>
        </w:rPr>
        <w:t>院、</w:t>
      </w:r>
      <w:r>
        <w:rPr>
          <w:rFonts w:ascii="標楷體" w:eastAsia="標楷體" w:hAnsi="標楷體" w:cs="標楷體"/>
          <w:sz w:val="24"/>
          <w:szCs w:val="24"/>
          <w:lang w:eastAsia="zh-TW"/>
        </w:rPr>
        <w:t>最高人民檢察</w:t>
      </w:r>
      <w:r>
        <w:rPr>
          <w:rFonts w:ascii="標楷體" w:eastAsia="標楷體" w:hAnsi="標楷體" w:cs="標楷體"/>
          <w:spacing w:val="-14"/>
          <w:sz w:val="24"/>
          <w:szCs w:val="24"/>
          <w:lang w:eastAsia="zh-TW"/>
        </w:rPr>
        <w:t>院</w:t>
      </w:r>
      <w:r>
        <w:rPr>
          <w:rFonts w:ascii="標楷體" w:eastAsia="標楷體" w:hAnsi="標楷體" w:cs="標楷體"/>
          <w:spacing w:val="-17"/>
          <w:sz w:val="24"/>
          <w:szCs w:val="24"/>
          <w:lang w:eastAsia="zh-TW"/>
        </w:rPr>
        <w:t>、</w:t>
      </w:r>
      <w:r>
        <w:rPr>
          <w:rFonts w:ascii="標楷體" w:eastAsia="標楷體" w:hAnsi="標楷體" w:cs="標楷體"/>
          <w:spacing w:val="2"/>
          <w:sz w:val="24"/>
          <w:szCs w:val="24"/>
          <w:lang w:eastAsia="zh-TW"/>
        </w:rPr>
        <w:t>公</w:t>
      </w:r>
      <w:r>
        <w:rPr>
          <w:rFonts w:ascii="標楷體" w:eastAsia="標楷體" w:hAnsi="標楷體" w:cs="標楷體"/>
          <w:sz w:val="24"/>
          <w:szCs w:val="24"/>
          <w:lang w:eastAsia="zh-TW"/>
        </w:rPr>
        <w:t>安部及司法部。</w:t>
      </w:r>
    </w:p>
    <w:p w:rsidR="0065733F" w:rsidRDefault="0065733F" w:rsidP="0065733F">
      <w:pPr>
        <w:spacing w:before="24" w:after="0" w:line="360" w:lineRule="exact"/>
        <w:ind w:left="1080" w:right="264" w:hanging="480"/>
        <w:rPr>
          <w:rFonts w:ascii="標楷體" w:eastAsia="標楷體" w:hAnsi="標楷體" w:cs="標楷體"/>
          <w:sz w:val="24"/>
          <w:szCs w:val="24"/>
          <w:lang w:eastAsia="zh-TW"/>
        </w:rPr>
      </w:pPr>
    </w:p>
    <w:p w:rsidR="0065733F" w:rsidRDefault="0065733F" w:rsidP="0065733F">
      <w:pPr>
        <w:spacing w:after="0" w:line="360" w:lineRule="exact"/>
        <w:ind w:left="689" w:right="321" w:hanging="480"/>
        <w:rPr>
          <w:rFonts w:ascii="標楷體" w:eastAsia="標楷體" w:hAnsi="標楷體" w:cs="標楷體"/>
          <w:sz w:val="24"/>
          <w:szCs w:val="24"/>
          <w:lang w:eastAsia="zh-TW"/>
        </w:rPr>
      </w:pPr>
      <w:r>
        <w:rPr>
          <w:rFonts w:ascii="標楷體" w:eastAsia="標楷體" w:hAnsi="標楷體" w:cs="標楷體"/>
          <w:sz w:val="24"/>
          <w:szCs w:val="24"/>
          <w:lang w:eastAsia="zh-TW"/>
        </w:rPr>
        <w:t>三、法務部所屬檢察機關、調查機關、行政執行機關或矯正機關於依法限制大陸地區人民人身自由後</w:t>
      </w:r>
      <w:r>
        <w:rPr>
          <w:rFonts w:ascii="標楷體" w:eastAsia="標楷體" w:hAnsi="標楷體" w:cs="標楷體"/>
          <w:spacing w:val="1"/>
          <w:sz w:val="24"/>
          <w:szCs w:val="24"/>
          <w:lang w:eastAsia="zh-TW"/>
        </w:rPr>
        <w:t>，</w:t>
      </w:r>
      <w:r>
        <w:rPr>
          <w:rFonts w:ascii="標楷體" w:eastAsia="標楷體" w:hAnsi="標楷體" w:cs="標楷體"/>
          <w:sz w:val="24"/>
          <w:szCs w:val="24"/>
          <w:lang w:eastAsia="zh-TW"/>
        </w:rPr>
        <w:t>應</w:t>
      </w:r>
      <w:r>
        <w:rPr>
          <w:rFonts w:ascii="標楷體" w:eastAsia="標楷體" w:hAnsi="標楷體" w:cs="標楷體" w:hint="eastAsia"/>
          <w:sz w:val="24"/>
          <w:szCs w:val="24"/>
          <w:lang w:eastAsia="zh-TW"/>
        </w:rPr>
        <w:t>於三個工作日內</w:t>
      </w:r>
      <w:r>
        <w:rPr>
          <w:rFonts w:ascii="標楷體" w:eastAsia="標楷體" w:hAnsi="標楷體" w:cs="標楷體"/>
          <w:sz w:val="24"/>
          <w:szCs w:val="24"/>
          <w:lang w:eastAsia="zh-TW"/>
        </w:rPr>
        <w:t>填具「大陸地區人民在臺人身自由限制通報及通知表」相關「通報內容</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（格式如附件一</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 xml:space="preserve">，以電子郵件、傳真或其他方式通報法務部。 </w:t>
      </w:r>
    </w:p>
    <w:p w:rsidR="0065733F" w:rsidRDefault="0065733F" w:rsidP="0065733F">
      <w:pPr>
        <w:spacing w:after="0" w:line="360" w:lineRule="exact"/>
        <w:ind w:left="689" w:right="321"/>
        <w:rPr>
          <w:rFonts w:ascii="標楷體" w:eastAsia="標楷體" w:hAnsi="標楷體" w:cs="標楷體"/>
          <w:sz w:val="24"/>
          <w:szCs w:val="24"/>
          <w:lang w:eastAsia="zh-TW"/>
        </w:rPr>
      </w:pPr>
      <w:r>
        <w:rPr>
          <w:rFonts w:ascii="標楷體" w:eastAsia="標楷體" w:hAnsi="標楷體" w:cs="標楷體"/>
          <w:sz w:val="24"/>
          <w:szCs w:val="24"/>
          <w:lang w:eastAsia="zh-TW"/>
        </w:rPr>
        <w:t>法務部接收前項通報文件，認形式齊備且符合兩岸司法互助協議規定後，應及時通報大陸地區主管機關；認內容不完備時，應向通報機關確認或請其補正。</w:t>
      </w:r>
    </w:p>
    <w:p w:rsidR="0065733F" w:rsidRDefault="0065733F" w:rsidP="0065733F">
      <w:pPr>
        <w:spacing w:after="0" w:line="360" w:lineRule="exact"/>
        <w:ind w:left="689" w:right="321"/>
        <w:rPr>
          <w:rFonts w:ascii="標楷體" w:eastAsia="標楷體" w:hAnsi="標楷體" w:cs="標楷體"/>
          <w:sz w:val="24"/>
          <w:szCs w:val="24"/>
          <w:lang w:eastAsia="zh-TW"/>
        </w:rPr>
      </w:pPr>
    </w:p>
    <w:p w:rsidR="0065733F" w:rsidRDefault="0065733F" w:rsidP="0065733F">
      <w:pPr>
        <w:spacing w:after="0" w:line="336" w:lineRule="exact"/>
        <w:ind w:right="377"/>
        <w:jc w:val="right"/>
        <w:rPr>
          <w:rFonts w:ascii="標楷體" w:eastAsia="標楷體" w:hAnsi="標楷體" w:cs="標楷體"/>
          <w:sz w:val="24"/>
          <w:szCs w:val="24"/>
          <w:lang w:eastAsia="zh-TW"/>
        </w:rPr>
      </w:pPr>
      <w:r>
        <w:rPr>
          <w:rFonts w:ascii="標楷體" w:eastAsia="標楷體" w:hAnsi="標楷體" w:cs="標楷體"/>
          <w:position w:val="-2"/>
          <w:sz w:val="24"/>
          <w:szCs w:val="24"/>
          <w:lang w:eastAsia="zh-TW"/>
        </w:rPr>
        <w:t>四、法務部所屬機關對大陸地區投資人及其隨行家屬，或大陸投資企業中之陸</w:t>
      </w:r>
    </w:p>
    <w:p w:rsidR="0065733F" w:rsidRDefault="0065733F" w:rsidP="0065733F">
      <w:pPr>
        <w:spacing w:before="24" w:after="0" w:line="360" w:lineRule="exact"/>
        <w:ind w:left="689" w:right="27"/>
        <w:rPr>
          <w:rFonts w:ascii="標楷體" w:eastAsia="標楷體" w:hAnsi="標楷體" w:cs="標楷體"/>
          <w:sz w:val="24"/>
          <w:szCs w:val="24"/>
          <w:lang w:eastAsia="zh-TW"/>
        </w:rPr>
      </w:pPr>
      <w:r>
        <w:rPr>
          <w:rFonts w:ascii="標楷體" w:eastAsia="標楷體" w:hAnsi="標楷體" w:cs="標楷體"/>
          <w:spacing w:val="2"/>
          <w:sz w:val="24"/>
          <w:szCs w:val="24"/>
          <w:lang w:eastAsia="zh-TW"/>
        </w:rPr>
        <w:t>方員工及其</w:t>
      </w:r>
      <w:r>
        <w:rPr>
          <w:rFonts w:ascii="標楷體" w:eastAsia="標楷體" w:hAnsi="標楷體" w:cs="標楷體"/>
          <w:sz w:val="24"/>
          <w:szCs w:val="24"/>
          <w:lang w:eastAsia="zh-TW"/>
        </w:rPr>
        <w:t>隨</w:t>
      </w:r>
      <w:r>
        <w:rPr>
          <w:rFonts w:ascii="標楷體" w:eastAsia="標楷體" w:hAnsi="標楷體" w:cs="標楷體"/>
          <w:spacing w:val="2"/>
          <w:sz w:val="24"/>
          <w:szCs w:val="24"/>
          <w:lang w:eastAsia="zh-TW"/>
        </w:rPr>
        <w:t>行家屬</w:t>
      </w:r>
      <w:r>
        <w:rPr>
          <w:rFonts w:ascii="標楷體" w:eastAsia="標楷體" w:hAnsi="標楷體" w:cs="標楷體"/>
          <w:sz w:val="24"/>
          <w:szCs w:val="24"/>
          <w:lang w:eastAsia="zh-TW"/>
        </w:rPr>
        <w:t>依</w:t>
      </w:r>
      <w:r>
        <w:rPr>
          <w:rFonts w:ascii="標楷體" w:eastAsia="標楷體" w:hAnsi="標楷體" w:cs="標楷體"/>
          <w:spacing w:val="2"/>
          <w:sz w:val="24"/>
          <w:szCs w:val="24"/>
          <w:lang w:eastAsia="zh-TW"/>
        </w:rPr>
        <w:t>法採取強制</w:t>
      </w:r>
      <w:r>
        <w:rPr>
          <w:rFonts w:ascii="標楷體" w:eastAsia="標楷體" w:hAnsi="標楷體" w:cs="標楷體"/>
          <w:sz w:val="24"/>
          <w:szCs w:val="24"/>
          <w:lang w:eastAsia="zh-TW"/>
        </w:rPr>
        <w:t>措</w:t>
      </w:r>
      <w:r>
        <w:rPr>
          <w:rFonts w:ascii="標楷體" w:eastAsia="標楷體" w:hAnsi="標楷體" w:cs="標楷體"/>
          <w:spacing w:val="2"/>
          <w:sz w:val="24"/>
          <w:szCs w:val="24"/>
          <w:lang w:eastAsia="zh-TW"/>
        </w:rPr>
        <w:t>施限制</w:t>
      </w:r>
      <w:r>
        <w:rPr>
          <w:rFonts w:ascii="標楷體" w:eastAsia="標楷體" w:hAnsi="標楷體" w:cs="標楷體"/>
          <w:sz w:val="24"/>
          <w:szCs w:val="24"/>
          <w:lang w:eastAsia="zh-TW"/>
        </w:rPr>
        <w:t>其</w:t>
      </w:r>
      <w:r>
        <w:rPr>
          <w:rFonts w:ascii="標楷體" w:eastAsia="標楷體" w:hAnsi="標楷體" w:cs="標楷體"/>
          <w:spacing w:val="2"/>
          <w:sz w:val="24"/>
          <w:szCs w:val="24"/>
          <w:lang w:eastAsia="zh-TW"/>
        </w:rPr>
        <w:t>人身自由時</w:t>
      </w:r>
      <w:r>
        <w:rPr>
          <w:rFonts w:ascii="標楷體" w:eastAsia="標楷體" w:hAnsi="標楷體" w:cs="標楷體"/>
          <w:sz w:val="24"/>
          <w:szCs w:val="24"/>
          <w:lang w:eastAsia="zh-TW"/>
        </w:rPr>
        <w:t>起</w:t>
      </w:r>
      <w:r>
        <w:rPr>
          <w:rFonts w:ascii="標楷體" w:eastAsia="標楷體" w:hAnsi="標楷體" w:cs="標楷體"/>
          <w:spacing w:val="2"/>
          <w:sz w:val="24"/>
          <w:szCs w:val="24"/>
          <w:lang w:eastAsia="zh-TW"/>
        </w:rPr>
        <w:t>二十四</w:t>
      </w:r>
      <w:r>
        <w:rPr>
          <w:rFonts w:ascii="標楷體" w:eastAsia="標楷體" w:hAnsi="標楷體" w:cs="標楷體"/>
          <w:sz w:val="24"/>
          <w:szCs w:val="24"/>
          <w:lang w:eastAsia="zh-TW"/>
        </w:rPr>
        <w:t>小</w:t>
      </w:r>
      <w:r>
        <w:rPr>
          <w:rFonts w:ascii="標楷體" w:eastAsia="標楷體" w:hAnsi="標楷體" w:cs="標楷體"/>
          <w:spacing w:val="2"/>
          <w:sz w:val="24"/>
          <w:szCs w:val="24"/>
          <w:lang w:eastAsia="zh-TW"/>
        </w:rPr>
        <w:t>時</w:t>
      </w:r>
      <w:r>
        <w:rPr>
          <w:rFonts w:ascii="標楷體" w:eastAsia="標楷體" w:hAnsi="標楷體" w:cs="標楷體"/>
          <w:sz w:val="24"/>
          <w:szCs w:val="24"/>
          <w:lang w:eastAsia="zh-TW"/>
        </w:rPr>
        <w:t>內，通知該受人身自由限制之大陸地區人民在臺灣地區之家屬或所投資企業，並填</w:t>
      </w:r>
      <w:r>
        <w:rPr>
          <w:rFonts w:ascii="標楷體" w:eastAsia="標楷體" w:hAnsi="標楷體" w:cs="標楷體"/>
          <w:spacing w:val="-22"/>
          <w:sz w:val="24"/>
          <w:szCs w:val="24"/>
          <w:lang w:eastAsia="zh-TW"/>
        </w:rPr>
        <w:t>具</w:t>
      </w:r>
      <w:r>
        <w:rPr>
          <w:rFonts w:ascii="標楷體" w:eastAsia="標楷體" w:hAnsi="標楷體" w:cs="標楷體"/>
          <w:sz w:val="24"/>
          <w:szCs w:val="24"/>
          <w:lang w:eastAsia="zh-TW"/>
        </w:rPr>
        <w:t>「大陸地區人民在</w:t>
      </w:r>
      <w:r>
        <w:rPr>
          <w:rFonts w:ascii="標楷體" w:eastAsia="標楷體" w:hAnsi="標楷體" w:cs="標楷體"/>
          <w:spacing w:val="1"/>
          <w:sz w:val="24"/>
          <w:szCs w:val="24"/>
          <w:lang w:eastAsia="zh-TW"/>
        </w:rPr>
        <w:t>臺</w:t>
      </w:r>
      <w:r>
        <w:rPr>
          <w:rFonts w:ascii="標楷體" w:eastAsia="標楷體" w:hAnsi="標楷體" w:cs="標楷體"/>
          <w:sz w:val="24"/>
          <w:szCs w:val="24"/>
          <w:lang w:eastAsia="zh-TW"/>
        </w:rPr>
        <w:t>人身自由限制通報及通知表</w:t>
      </w:r>
      <w:r>
        <w:rPr>
          <w:rFonts w:ascii="標楷體" w:eastAsia="標楷體" w:hAnsi="標楷體" w:cs="標楷體"/>
          <w:spacing w:val="-22"/>
          <w:sz w:val="24"/>
          <w:szCs w:val="24"/>
          <w:lang w:eastAsia="zh-TW"/>
        </w:rPr>
        <w:t>」</w:t>
      </w:r>
      <w:r>
        <w:rPr>
          <w:rFonts w:ascii="標楷體" w:eastAsia="標楷體" w:hAnsi="標楷體" w:cs="標楷體"/>
          <w:sz w:val="24"/>
          <w:szCs w:val="24"/>
          <w:lang w:eastAsia="zh-TW"/>
        </w:rPr>
        <w:t>有</w:t>
      </w:r>
      <w:r>
        <w:rPr>
          <w:rFonts w:ascii="標楷體" w:eastAsia="標楷體" w:hAnsi="標楷體" w:cs="標楷體"/>
          <w:spacing w:val="-22"/>
          <w:sz w:val="24"/>
          <w:szCs w:val="24"/>
          <w:lang w:eastAsia="zh-TW"/>
        </w:rPr>
        <w:t>關</w:t>
      </w:r>
      <w:r>
        <w:rPr>
          <w:rFonts w:ascii="標楷體" w:eastAsia="標楷體" w:hAnsi="標楷體" w:cs="標楷體"/>
          <w:sz w:val="24"/>
          <w:szCs w:val="24"/>
          <w:lang w:eastAsia="zh-TW"/>
        </w:rPr>
        <w:t>「通</w:t>
      </w:r>
      <w:r>
        <w:rPr>
          <w:rFonts w:ascii="標楷體" w:eastAsia="標楷體" w:hAnsi="標楷體" w:cs="標楷體"/>
          <w:spacing w:val="2"/>
          <w:sz w:val="24"/>
          <w:szCs w:val="24"/>
          <w:lang w:eastAsia="zh-TW"/>
        </w:rPr>
        <w:t>知</w:t>
      </w:r>
      <w:r>
        <w:rPr>
          <w:rFonts w:ascii="標楷體" w:eastAsia="標楷體" w:hAnsi="標楷體" w:cs="標楷體"/>
          <w:sz w:val="24"/>
          <w:szCs w:val="24"/>
          <w:lang w:eastAsia="zh-TW"/>
        </w:rPr>
        <w:t>情形」</w:t>
      </w:r>
    </w:p>
    <w:p w:rsidR="0065733F" w:rsidRDefault="0065733F" w:rsidP="0065733F">
      <w:pPr>
        <w:spacing w:after="0" w:line="360" w:lineRule="exact"/>
        <w:ind w:left="689" w:right="266"/>
        <w:rPr>
          <w:rFonts w:ascii="標楷體" w:eastAsia="標楷體" w:hAnsi="標楷體" w:cs="標楷體"/>
          <w:sz w:val="24"/>
          <w:szCs w:val="24"/>
          <w:lang w:eastAsia="zh-TW"/>
        </w:rPr>
      </w:pPr>
      <w:r>
        <w:rPr>
          <w:rFonts w:ascii="標楷體" w:eastAsia="標楷體" w:hAnsi="標楷體" w:cs="標楷體"/>
          <w:sz w:val="24"/>
          <w:szCs w:val="24"/>
          <w:lang w:eastAsia="zh-TW"/>
        </w:rPr>
        <w:t>（格式如附件一</w:t>
      </w:r>
      <w:r>
        <w:rPr>
          <w:rFonts w:ascii="標楷體" w:eastAsia="標楷體" w:hAnsi="標楷體" w:cs="標楷體"/>
          <w:spacing w:val="-130"/>
          <w:sz w:val="24"/>
          <w:szCs w:val="24"/>
          <w:lang w:eastAsia="zh-TW"/>
        </w:rPr>
        <w:t>）</w:t>
      </w:r>
      <w:r>
        <w:rPr>
          <w:rFonts w:ascii="標楷體" w:eastAsia="標楷體" w:hAnsi="標楷體" w:cs="標楷體"/>
          <w:spacing w:val="-10"/>
          <w:sz w:val="24"/>
          <w:szCs w:val="24"/>
          <w:lang w:eastAsia="zh-TW"/>
        </w:rPr>
        <w:t>，</w:t>
      </w:r>
      <w:r>
        <w:rPr>
          <w:rFonts w:ascii="標楷體" w:eastAsia="標楷體" w:hAnsi="標楷體" w:cs="標楷體"/>
          <w:spacing w:val="-2"/>
          <w:sz w:val="24"/>
          <w:szCs w:val="24"/>
          <w:lang w:eastAsia="zh-TW"/>
        </w:rPr>
        <w:t>以</w:t>
      </w:r>
      <w:r>
        <w:rPr>
          <w:rFonts w:ascii="標楷體" w:eastAsia="標楷體" w:hAnsi="標楷體" w:cs="標楷體"/>
          <w:sz w:val="24"/>
          <w:szCs w:val="24"/>
          <w:lang w:eastAsia="zh-TW"/>
        </w:rPr>
        <w:t>電子郵</w:t>
      </w:r>
      <w:r>
        <w:rPr>
          <w:rFonts w:ascii="標楷體" w:eastAsia="標楷體" w:hAnsi="標楷體" w:cs="標楷體"/>
          <w:spacing w:val="-10"/>
          <w:sz w:val="24"/>
          <w:szCs w:val="24"/>
          <w:lang w:eastAsia="zh-TW"/>
        </w:rPr>
        <w:t>件、</w:t>
      </w:r>
      <w:r>
        <w:rPr>
          <w:rFonts w:ascii="標楷體" w:eastAsia="標楷體" w:hAnsi="標楷體" w:cs="標楷體"/>
          <w:sz w:val="24"/>
          <w:szCs w:val="24"/>
          <w:lang w:eastAsia="zh-TW"/>
        </w:rPr>
        <w:t>傳真或其</w:t>
      </w:r>
      <w:r>
        <w:rPr>
          <w:rFonts w:ascii="標楷體" w:eastAsia="標楷體" w:hAnsi="標楷體" w:cs="標楷體"/>
          <w:spacing w:val="-2"/>
          <w:sz w:val="24"/>
          <w:szCs w:val="24"/>
          <w:lang w:eastAsia="zh-TW"/>
        </w:rPr>
        <w:t>他</w:t>
      </w:r>
      <w:r>
        <w:rPr>
          <w:rFonts w:ascii="標楷體" w:eastAsia="標楷體" w:hAnsi="標楷體" w:cs="標楷體"/>
          <w:sz w:val="24"/>
          <w:szCs w:val="24"/>
          <w:lang w:eastAsia="zh-TW"/>
        </w:rPr>
        <w:t>方式通報法務</w:t>
      </w:r>
      <w:r>
        <w:rPr>
          <w:rFonts w:ascii="標楷體" w:eastAsia="標楷體" w:hAnsi="標楷體" w:cs="標楷體"/>
          <w:spacing w:val="-10"/>
          <w:sz w:val="24"/>
          <w:szCs w:val="24"/>
          <w:lang w:eastAsia="zh-TW"/>
        </w:rPr>
        <w:t>部；</w:t>
      </w:r>
      <w:r>
        <w:rPr>
          <w:rFonts w:ascii="標楷體" w:eastAsia="標楷體" w:hAnsi="標楷體" w:cs="標楷體"/>
          <w:sz w:val="24"/>
          <w:szCs w:val="24"/>
          <w:lang w:eastAsia="zh-TW"/>
        </w:rPr>
        <w:t>法</w:t>
      </w:r>
      <w:r>
        <w:rPr>
          <w:rFonts w:ascii="標楷體" w:eastAsia="標楷體" w:hAnsi="標楷體" w:cs="標楷體"/>
          <w:spacing w:val="-2"/>
          <w:sz w:val="24"/>
          <w:szCs w:val="24"/>
          <w:lang w:eastAsia="zh-TW"/>
        </w:rPr>
        <w:t>務</w:t>
      </w:r>
      <w:r>
        <w:rPr>
          <w:rFonts w:ascii="標楷體" w:eastAsia="標楷體" w:hAnsi="標楷體" w:cs="標楷體"/>
          <w:sz w:val="24"/>
          <w:szCs w:val="24"/>
          <w:lang w:eastAsia="zh-TW"/>
        </w:rPr>
        <w:t>部認</w:t>
      </w:r>
      <w:r>
        <w:rPr>
          <w:rFonts w:ascii="標楷體" w:eastAsia="標楷體" w:hAnsi="標楷體" w:cs="標楷體"/>
          <w:sz w:val="24"/>
          <w:szCs w:val="24"/>
          <w:lang w:eastAsia="zh-TW"/>
        </w:rPr>
        <w:lastRenderedPageBreak/>
        <w:t>不明確時，應向通知執行機關確認或請其補正。</w:t>
      </w:r>
    </w:p>
    <w:p w:rsidR="0065733F" w:rsidRDefault="0065733F" w:rsidP="0065733F">
      <w:pPr>
        <w:spacing w:after="0" w:line="360" w:lineRule="exact"/>
        <w:ind w:left="689" w:right="266"/>
        <w:rPr>
          <w:rFonts w:ascii="標楷體" w:eastAsia="標楷體" w:hAnsi="標楷體" w:cs="標楷體"/>
          <w:sz w:val="24"/>
          <w:szCs w:val="24"/>
          <w:lang w:eastAsia="zh-TW"/>
        </w:rPr>
      </w:pPr>
    </w:p>
    <w:p w:rsidR="0065733F" w:rsidRDefault="0065733F" w:rsidP="0065733F">
      <w:pPr>
        <w:spacing w:after="0" w:line="360" w:lineRule="exact"/>
        <w:ind w:left="689" w:right="204" w:hanging="480"/>
        <w:rPr>
          <w:rFonts w:ascii="標楷體" w:eastAsia="標楷體" w:hAnsi="標楷體" w:cs="標楷體"/>
          <w:sz w:val="24"/>
          <w:szCs w:val="24"/>
          <w:lang w:eastAsia="zh-TW"/>
        </w:rPr>
      </w:pPr>
      <w:r>
        <w:rPr>
          <w:rFonts w:ascii="標楷體" w:eastAsia="標楷體" w:hAnsi="標楷體" w:cs="標楷體"/>
          <w:sz w:val="24"/>
          <w:szCs w:val="24"/>
          <w:lang w:eastAsia="zh-TW"/>
        </w:rPr>
        <w:t>五、法務部所屬檢察機關遇大陸地區人民在臺有非病死或可疑為非病死之情形時，應於相驗後</w:t>
      </w:r>
      <w:r>
        <w:rPr>
          <w:rFonts w:ascii="標楷體" w:eastAsia="標楷體" w:hAnsi="標楷體" w:cs="標楷體" w:hint="eastAsia"/>
          <w:sz w:val="24"/>
          <w:szCs w:val="24"/>
          <w:lang w:eastAsia="zh-TW"/>
        </w:rPr>
        <w:t>於三個工作日內</w:t>
      </w:r>
      <w:r>
        <w:rPr>
          <w:rFonts w:ascii="標楷體" w:eastAsia="標楷體" w:hAnsi="標楷體" w:cs="標楷體"/>
          <w:sz w:val="24"/>
          <w:szCs w:val="24"/>
          <w:lang w:eastAsia="zh-TW"/>
        </w:rPr>
        <w:t>填具「大陸地區人民在臺非病死或可疑為非病死通報表</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（格式如附件二</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 xml:space="preserve">，以電子郵件、傳真或其他方式通報法務部。 </w:t>
      </w:r>
    </w:p>
    <w:p w:rsidR="0065733F" w:rsidRDefault="0065733F" w:rsidP="0065733F">
      <w:pPr>
        <w:spacing w:after="0" w:line="360" w:lineRule="exact"/>
        <w:ind w:left="689" w:right="204"/>
        <w:rPr>
          <w:rFonts w:ascii="標楷體" w:eastAsia="標楷體" w:hAnsi="標楷體" w:cs="標楷體"/>
          <w:sz w:val="24"/>
          <w:szCs w:val="24"/>
          <w:lang w:eastAsia="zh-TW"/>
        </w:rPr>
      </w:pPr>
      <w:r>
        <w:rPr>
          <w:rFonts w:ascii="標楷體" w:eastAsia="標楷體" w:hAnsi="標楷體" w:cs="標楷體"/>
          <w:sz w:val="24"/>
          <w:szCs w:val="24"/>
          <w:lang w:eastAsia="zh-TW"/>
        </w:rPr>
        <w:t>法務部於接收前項通報文</w:t>
      </w:r>
      <w:r>
        <w:rPr>
          <w:rFonts w:ascii="標楷體" w:eastAsia="標楷體" w:hAnsi="標楷體" w:cs="標楷體"/>
          <w:spacing w:val="-46"/>
          <w:sz w:val="24"/>
          <w:szCs w:val="24"/>
          <w:lang w:eastAsia="zh-TW"/>
        </w:rPr>
        <w:t>件，</w:t>
      </w:r>
      <w:r>
        <w:rPr>
          <w:rFonts w:ascii="標楷體" w:eastAsia="標楷體" w:hAnsi="標楷體" w:cs="標楷體"/>
          <w:sz w:val="24"/>
          <w:szCs w:val="24"/>
          <w:lang w:eastAsia="zh-TW"/>
        </w:rPr>
        <w:t>認形式齊備且符合兩岸司法互助協議規定</w:t>
      </w:r>
      <w:r>
        <w:rPr>
          <w:rFonts w:ascii="標楷體" w:eastAsia="標楷體" w:hAnsi="標楷體" w:cs="標楷體"/>
          <w:spacing w:val="-31"/>
          <w:sz w:val="24"/>
          <w:szCs w:val="24"/>
          <w:lang w:eastAsia="zh-TW"/>
        </w:rPr>
        <w:t>後</w:t>
      </w:r>
      <w:r>
        <w:rPr>
          <w:rFonts w:ascii="標楷體" w:eastAsia="標楷體" w:hAnsi="標楷體" w:cs="標楷體"/>
          <w:sz w:val="24"/>
          <w:szCs w:val="24"/>
          <w:lang w:eastAsia="zh-TW"/>
        </w:rPr>
        <w:t>，</w:t>
      </w:r>
      <w:r>
        <w:rPr>
          <w:rFonts w:ascii="標楷體" w:eastAsia="標楷體" w:hAnsi="標楷體" w:cs="標楷體"/>
          <w:position w:val="-2"/>
          <w:sz w:val="24"/>
          <w:szCs w:val="24"/>
          <w:lang w:eastAsia="zh-TW"/>
        </w:rPr>
        <w:t>應及時通報大陸地區主管機關；認內容不完備時，應向通報機關確認或請</w:t>
      </w:r>
      <w:r>
        <w:rPr>
          <w:rFonts w:ascii="標楷體" w:eastAsia="標楷體" w:hAnsi="標楷體" w:cs="標楷體"/>
          <w:sz w:val="24"/>
          <w:szCs w:val="24"/>
          <w:lang w:eastAsia="zh-TW"/>
        </w:rPr>
        <w:t xml:space="preserve">其補正。 </w:t>
      </w:r>
    </w:p>
    <w:p w:rsidR="0065733F" w:rsidRPr="00942DA7" w:rsidRDefault="0065733F" w:rsidP="0065733F">
      <w:pPr>
        <w:spacing w:after="0" w:line="360" w:lineRule="exact"/>
        <w:ind w:left="689" w:right="204"/>
        <w:rPr>
          <w:rFonts w:ascii="標楷體" w:eastAsia="標楷體" w:hAnsi="標楷體" w:cs="標楷體"/>
          <w:sz w:val="24"/>
          <w:szCs w:val="24"/>
          <w:lang w:eastAsia="zh-TW"/>
        </w:rPr>
      </w:pPr>
    </w:p>
    <w:p w:rsidR="0065733F" w:rsidRDefault="0065733F" w:rsidP="0065733F">
      <w:pPr>
        <w:spacing w:after="0" w:line="360" w:lineRule="exact"/>
        <w:ind w:left="689" w:right="101" w:hanging="480"/>
        <w:rPr>
          <w:rFonts w:ascii="標楷體" w:eastAsia="標楷體" w:hAnsi="標楷體" w:cs="標楷體"/>
          <w:sz w:val="24"/>
          <w:szCs w:val="24"/>
          <w:lang w:eastAsia="zh-TW"/>
        </w:rPr>
      </w:pPr>
      <w:r>
        <w:rPr>
          <w:rFonts w:ascii="標楷體" w:eastAsia="標楷體" w:hAnsi="標楷體" w:cs="標楷體"/>
          <w:sz w:val="24"/>
          <w:szCs w:val="24"/>
          <w:lang w:eastAsia="zh-TW"/>
        </w:rPr>
        <w:t>六、法務部應促請經授權之法務部所屬</w:t>
      </w:r>
      <w:r w:rsidRPr="004A427A">
        <w:rPr>
          <w:rFonts w:ascii="標楷體" w:eastAsia="標楷體" w:hAnsi="標楷體" w:cs="標楷體"/>
          <w:sz w:val="24"/>
          <w:szCs w:val="24"/>
          <w:lang w:eastAsia="zh-TW"/>
        </w:rPr>
        <w:t>以</w:t>
      </w:r>
      <w:r>
        <w:rPr>
          <w:rFonts w:ascii="標楷體" w:eastAsia="標楷體" w:hAnsi="標楷體" w:cs="標楷體"/>
          <w:sz w:val="24"/>
          <w:szCs w:val="24"/>
          <w:lang w:eastAsia="zh-TW"/>
        </w:rPr>
        <w:t>外之司法警察機關接獲大陸地區主管機關就臺灣地區人民在大陸地區受人身自由限制或非病死、可疑為非病死等重要訊息後，應及時將上開訊息函知法務部及該臺灣地區人民戶籍地所在之直轄市、縣市警察局，並囑請該警察局就所接收之訊息轉知該臺灣地區人民之在臺家屬。</w:t>
      </w:r>
    </w:p>
    <w:p w:rsidR="0065733F" w:rsidRDefault="0065733F" w:rsidP="0065733F">
      <w:pPr>
        <w:spacing w:after="0" w:line="360" w:lineRule="exact"/>
        <w:ind w:left="689" w:right="101"/>
        <w:rPr>
          <w:rFonts w:ascii="標楷體" w:eastAsia="標楷體" w:hAnsi="標楷體" w:cs="標楷體"/>
          <w:sz w:val="24"/>
          <w:szCs w:val="24"/>
          <w:lang w:eastAsia="zh-TW"/>
        </w:rPr>
      </w:pPr>
      <w:r>
        <w:rPr>
          <w:rFonts w:ascii="標楷體" w:eastAsia="標楷體" w:hAnsi="標楷體" w:cs="標楷體"/>
          <w:sz w:val="24"/>
          <w:szCs w:val="24"/>
          <w:lang w:eastAsia="zh-TW"/>
        </w:rPr>
        <w:t>法務部接獲大陸地區主管機關就臺灣地區人民在大陸地區受人身自由限制或非病死、可疑為非病死等重要訊息後，應函知經授權之內政部警政署依前項後段規定辦理。</w:t>
      </w:r>
    </w:p>
    <w:p w:rsidR="0065733F" w:rsidRDefault="0065733F" w:rsidP="0065733F">
      <w:pPr>
        <w:spacing w:after="0" w:line="360" w:lineRule="exact"/>
        <w:ind w:left="689" w:right="101"/>
        <w:rPr>
          <w:rFonts w:ascii="標楷體" w:eastAsia="標楷體" w:hAnsi="標楷體" w:cs="標楷體"/>
          <w:sz w:val="24"/>
          <w:szCs w:val="24"/>
          <w:lang w:eastAsia="zh-TW"/>
        </w:rPr>
      </w:pPr>
    </w:p>
    <w:p w:rsidR="0065733F" w:rsidRDefault="0065733F" w:rsidP="0065733F">
      <w:pPr>
        <w:spacing w:after="0" w:line="360" w:lineRule="exact"/>
        <w:ind w:left="689" w:right="101" w:hanging="480"/>
        <w:rPr>
          <w:rFonts w:ascii="標楷體" w:eastAsia="標楷體" w:hAnsi="標楷體" w:cs="標楷體"/>
          <w:sz w:val="24"/>
          <w:szCs w:val="24"/>
          <w:lang w:eastAsia="zh-TW"/>
        </w:rPr>
      </w:pPr>
      <w:r>
        <w:rPr>
          <w:rFonts w:ascii="標楷體" w:eastAsia="標楷體" w:hAnsi="標楷體" w:cs="標楷體"/>
          <w:sz w:val="24"/>
          <w:szCs w:val="24"/>
          <w:lang w:eastAsia="zh-TW"/>
        </w:rPr>
        <w:t>七、請求協助與執行請求之相關資料均應予保密。但依請求目的使用者，不在此限。</w:t>
      </w:r>
    </w:p>
    <w:p w:rsidR="0065733F" w:rsidRDefault="0065733F" w:rsidP="0065733F">
      <w:pPr>
        <w:spacing w:after="0" w:line="360" w:lineRule="exact"/>
        <w:ind w:left="689" w:right="101" w:hanging="480"/>
        <w:rPr>
          <w:rFonts w:ascii="標楷體" w:eastAsia="標楷體" w:hAnsi="標楷體" w:cs="標楷體"/>
          <w:sz w:val="24"/>
          <w:szCs w:val="24"/>
          <w:lang w:eastAsia="zh-TW"/>
        </w:rPr>
      </w:pPr>
    </w:p>
    <w:p w:rsidR="00F858A5" w:rsidRDefault="0065733F" w:rsidP="0065733F">
      <w:pPr>
        <w:spacing w:after="0" w:line="360" w:lineRule="exact"/>
        <w:ind w:left="689" w:right="100" w:hanging="480"/>
        <w:rPr>
          <w:lang w:eastAsia="zh-TW"/>
        </w:rPr>
      </w:pPr>
      <w:r>
        <w:rPr>
          <w:rFonts w:ascii="標楷體" w:eastAsia="標楷體" w:hAnsi="標楷體" w:cs="標楷體"/>
          <w:sz w:val="24"/>
          <w:szCs w:val="24"/>
          <w:lang w:eastAsia="zh-TW"/>
        </w:rPr>
        <w:t>八、執行請求所生費用，除依兩岸司法互助協議第二十</w:t>
      </w:r>
      <w:r>
        <w:rPr>
          <w:rFonts w:ascii="標楷體" w:eastAsia="標楷體" w:hAnsi="標楷體" w:cs="標楷體"/>
          <w:spacing w:val="1"/>
          <w:sz w:val="24"/>
          <w:szCs w:val="24"/>
          <w:lang w:eastAsia="zh-TW"/>
        </w:rPr>
        <w:t>條</w:t>
      </w:r>
      <w:r>
        <w:rPr>
          <w:rFonts w:ascii="標楷體" w:eastAsia="標楷體" w:hAnsi="標楷體" w:cs="標楷體"/>
          <w:sz w:val="24"/>
          <w:szCs w:val="24"/>
          <w:lang w:eastAsia="zh-TW"/>
        </w:rPr>
        <w:t>請求方應負擔者外，由執行機關負擔。</w:t>
      </w:r>
      <w:bookmarkStart w:id="0" w:name="_GoBack"/>
      <w:bookmarkEnd w:id="0"/>
    </w:p>
    <w:sectPr w:rsidR="00F858A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A724A"/>
    <w:multiLevelType w:val="hybridMultilevel"/>
    <w:tmpl w:val="C720BC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3F"/>
    <w:rsid w:val="0065733F"/>
    <w:rsid w:val="00F858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F7F2"/>
  <w15:chartTrackingRefBased/>
  <w15:docId w15:val="{704545DD-421E-4826-82BF-9BD10A8D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33F"/>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33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1092</Characters>
  <Application>Microsoft Office Word</Application>
  <DocSecurity>0</DocSecurity>
  <Lines>9</Lines>
  <Paragraphs>2</Paragraphs>
  <ScaleCrop>false</ScaleCrop>
  <Company>MOJ</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江品萱</dc:creator>
  <cp:keywords/>
  <dc:description/>
  <cp:lastModifiedBy>江品萱</cp:lastModifiedBy>
  <cp:revision>1</cp:revision>
  <dcterms:created xsi:type="dcterms:W3CDTF">2020-10-22T03:16:00Z</dcterms:created>
  <dcterms:modified xsi:type="dcterms:W3CDTF">2020-10-22T03:17:00Z</dcterms:modified>
</cp:coreProperties>
</file>