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B2" w:rsidRPr="000369F4" w:rsidRDefault="009D51B2" w:rsidP="00B929EE">
      <w:pPr>
        <w:pStyle w:val="a"/>
        <w:kinsoku w:val="0"/>
        <w:overflowPunct w:val="0"/>
        <w:snapToGrid/>
        <w:spacing w:line="240" w:lineRule="auto"/>
        <w:ind w:leftChars="0" w:left="1079" w:hangingChars="245" w:hanging="1079"/>
        <w:jc w:val="center"/>
        <w:rPr>
          <w:b/>
          <w:sz w:val="44"/>
          <w:szCs w:val="44"/>
        </w:rPr>
      </w:pPr>
      <w:r w:rsidRPr="000369F4">
        <w:rPr>
          <w:rFonts w:ascii="標楷體" w:hAnsi="標楷體" w:hint="eastAsia"/>
          <w:b/>
          <w:sz w:val="44"/>
          <w:szCs w:val="44"/>
        </w:rPr>
        <w:t>法務部行政罰</w:t>
      </w:r>
      <w:r w:rsidRPr="000369F4">
        <w:rPr>
          <w:rFonts w:hint="eastAsia"/>
          <w:b/>
          <w:sz w:val="44"/>
          <w:szCs w:val="44"/>
        </w:rPr>
        <w:t>法諮詢小組</w:t>
      </w:r>
    </w:p>
    <w:p w:rsidR="009D51B2" w:rsidRDefault="009D51B2" w:rsidP="00B929EE">
      <w:pPr>
        <w:pStyle w:val="a"/>
        <w:kinsoku w:val="0"/>
        <w:overflowPunct w:val="0"/>
        <w:snapToGrid/>
        <w:spacing w:line="240" w:lineRule="auto"/>
        <w:ind w:leftChars="0" w:left="1079" w:hangingChars="245" w:hanging="1079"/>
        <w:jc w:val="center"/>
        <w:rPr>
          <w:b/>
          <w:sz w:val="44"/>
          <w:szCs w:val="44"/>
        </w:rPr>
      </w:pPr>
      <w:r w:rsidRPr="000369F4">
        <w:rPr>
          <w:rFonts w:hint="eastAsia"/>
          <w:b/>
          <w:sz w:val="44"/>
          <w:szCs w:val="44"/>
        </w:rPr>
        <w:t>第</w:t>
      </w:r>
      <w:r w:rsidRPr="000369F4">
        <w:rPr>
          <w:b/>
          <w:sz w:val="44"/>
          <w:szCs w:val="44"/>
        </w:rPr>
        <w:t>6</w:t>
      </w:r>
      <w:r w:rsidRPr="000369F4">
        <w:rPr>
          <w:rFonts w:hint="eastAsia"/>
          <w:b/>
          <w:sz w:val="44"/>
          <w:szCs w:val="44"/>
        </w:rPr>
        <w:t>次</w:t>
      </w:r>
      <w:r w:rsidRPr="000369F4">
        <w:rPr>
          <w:rFonts w:hint="eastAsia"/>
          <w:b/>
          <w:spacing w:val="12"/>
          <w:sz w:val="44"/>
          <w:szCs w:val="44"/>
        </w:rPr>
        <w:t>會議紀</w:t>
      </w:r>
      <w:r w:rsidRPr="000369F4">
        <w:rPr>
          <w:rFonts w:hint="eastAsia"/>
          <w:b/>
          <w:sz w:val="44"/>
          <w:szCs w:val="44"/>
        </w:rPr>
        <w:t>錄</w:t>
      </w:r>
    </w:p>
    <w:p w:rsidR="009D51B2" w:rsidRDefault="009D51B2" w:rsidP="00B929EE">
      <w:pPr>
        <w:pStyle w:val="a"/>
        <w:kinsoku w:val="0"/>
        <w:overflowPunct w:val="0"/>
        <w:snapToGrid/>
        <w:spacing w:line="240" w:lineRule="auto"/>
        <w:ind w:leftChars="0" w:left="392" w:hangingChars="245" w:hanging="392"/>
        <w:jc w:val="center"/>
        <w:rPr>
          <w:b/>
          <w:sz w:val="16"/>
          <w:szCs w:val="16"/>
        </w:rPr>
        <w:sectPr w:rsidR="009D51B2" w:rsidSect="00B929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chapStyle="1"/>
          <w:cols w:space="425"/>
          <w:titlePg/>
          <w:docGrid w:type="lines" w:linePitch="360"/>
        </w:sectPr>
      </w:pPr>
    </w:p>
    <w:p w:rsidR="009D51B2" w:rsidRPr="00BC06EA" w:rsidRDefault="009D51B2" w:rsidP="00B929EE">
      <w:pPr>
        <w:pStyle w:val="a"/>
        <w:kinsoku w:val="0"/>
        <w:overflowPunct w:val="0"/>
        <w:snapToGrid/>
        <w:spacing w:line="240" w:lineRule="auto"/>
        <w:ind w:leftChars="0" w:left="392" w:hangingChars="245" w:hanging="392"/>
        <w:jc w:val="center"/>
        <w:rPr>
          <w:b/>
          <w:sz w:val="16"/>
          <w:szCs w:val="16"/>
        </w:rPr>
      </w:pPr>
    </w:p>
    <w:p w:rsidR="009D51B2" w:rsidRPr="00550C0A" w:rsidRDefault="009D51B2" w:rsidP="00B929EE">
      <w:pPr>
        <w:pStyle w:val="a"/>
        <w:kinsoku w:val="0"/>
        <w:overflowPunct w:val="0"/>
        <w:spacing w:line="240" w:lineRule="auto"/>
        <w:ind w:leftChars="0" w:left="392" w:hangingChars="245" w:hanging="392"/>
        <w:jc w:val="center"/>
        <w:rPr>
          <w:sz w:val="16"/>
          <w:szCs w:val="16"/>
        </w:rPr>
      </w:pPr>
    </w:p>
    <w:p w:rsidR="009D51B2" w:rsidRPr="004B730F" w:rsidRDefault="009D51B2" w:rsidP="00B929EE">
      <w:pPr>
        <w:pStyle w:val="a0"/>
        <w:kinsoku w:val="0"/>
        <w:overflowPunct w:val="0"/>
        <w:spacing w:beforeLines="0" w:afterLines="0" w:line="420" w:lineRule="exact"/>
        <w:outlineLvl w:val="0"/>
        <w:rPr>
          <w:rFonts w:ascii="標楷體"/>
          <w:sz w:val="24"/>
          <w:szCs w:val="24"/>
        </w:rPr>
      </w:pPr>
      <w:r w:rsidRPr="004B730F">
        <w:rPr>
          <w:rFonts w:ascii="標楷體" w:hAnsi="標楷體" w:hint="eastAsia"/>
          <w:sz w:val="24"/>
          <w:szCs w:val="24"/>
        </w:rPr>
        <w:t>壹、時間﹕</w:t>
      </w:r>
      <w:r w:rsidRPr="004B730F">
        <w:rPr>
          <w:rFonts w:ascii="標楷體" w:hAnsi="標楷體"/>
          <w:sz w:val="24"/>
          <w:szCs w:val="24"/>
        </w:rPr>
        <w:t>96</w:t>
      </w:r>
      <w:r w:rsidRPr="004B730F">
        <w:rPr>
          <w:rFonts w:ascii="標楷體" w:hAnsi="標楷體" w:hint="eastAsia"/>
          <w:sz w:val="24"/>
          <w:szCs w:val="24"/>
        </w:rPr>
        <w:t>年</w:t>
      </w:r>
      <w:r w:rsidRPr="004B730F">
        <w:rPr>
          <w:rFonts w:ascii="標楷體" w:hAnsi="標楷體"/>
          <w:sz w:val="24"/>
          <w:szCs w:val="24"/>
        </w:rPr>
        <w:t>2</w:t>
      </w:r>
      <w:r w:rsidRPr="004B730F">
        <w:rPr>
          <w:rFonts w:ascii="標楷體" w:hAnsi="標楷體" w:hint="eastAsia"/>
          <w:sz w:val="24"/>
          <w:szCs w:val="24"/>
        </w:rPr>
        <w:t>月</w:t>
      </w:r>
      <w:r w:rsidRPr="004B730F">
        <w:rPr>
          <w:rFonts w:ascii="標楷體" w:hAnsi="標楷體"/>
          <w:sz w:val="24"/>
          <w:szCs w:val="24"/>
        </w:rPr>
        <w:t>13</w:t>
      </w:r>
      <w:r w:rsidRPr="004B730F">
        <w:rPr>
          <w:rFonts w:ascii="標楷體" w:hAnsi="標楷體" w:hint="eastAsia"/>
          <w:sz w:val="24"/>
          <w:szCs w:val="24"/>
        </w:rPr>
        <w:t>日（星期</w:t>
      </w:r>
      <w:r w:rsidRPr="004B730F">
        <w:rPr>
          <w:rFonts w:ascii="標楷體" w:hAnsi="標楷體"/>
          <w:sz w:val="24"/>
          <w:szCs w:val="24"/>
        </w:rPr>
        <w:t>2</w:t>
      </w:r>
      <w:r w:rsidRPr="004B730F">
        <w:rPr>
          <w:rFonts w:ascii="標楷體" w:hAnsi="標楷體" w:hint="eastAsia"/>
          <w:sz w:val="24"/>
          <w:szCs w:val="24"/>
        </w:rPr>
        <w:t>）下午</w:t>
      </w:r>
      <w:r w:rsidRPr="004B730F">
        <w:rPr>
          <w:rFonts w:ascii="標楷體" w:hAnsi="標楷體"/>
          <w:sz w:val="24"/>
          <w:szCs w:val="24"/>
        </w:rPr>
        <w:t>2</w:t>
      </w:r>
      <w:r w:rsidRPr="004B730F">
        <w:rPr>
          <w:rFonts w:ascii="標楷體" w:hAnsi="標楷體" w:hint="eastAsia"/>
          <w:sz w:val="24"/>
          <w:szCs w:val="24"/>
        </w:rPr>
        <w:t>時</w:t>
      </w:r>
      <w:r w:rsidRPr="004B730F">
        <w:rPr>
          <w:rFonts w:ascii="標楷體" w:hAnsi="標楷體"/>
          <w:sz w:val="24"/>
          <w:szCs w:val="24"/>
        </w:rPr>
        <w:t>30</w:t>
      </w:r>
      <w:r w:rsidRPr="004B730F">
        <w:rPr>
          <w:rFonts w:ascii="標楷體" w:hAnsi="標楷體" w:hint="eastAsia"/>
          <w:sz w:val="24"/>
          <w:szCs w:val="24"/>
        </w:rPr>
        <w:t>分</w:t>
      </w:r>
    </w:p>
    <w:p w:rsidR="009D51B2" w:rsidRPr="004B730F" w:rsidRDefault="009D51B2" w:rsidP="00B929EE">
      <w:pPr>
        <w:pStyle w:val="a0"/>
        <w:kinsoku w:val="0"/>
        <w:overflowPunct w:val="0"/>
        <w:spacing w:beforeLines="0" w:afterLines="0" w:line="420" w:lineRule="exact"/>
        <w:rPr>
          <w:sz w:val="24"/>
          <w:szCs w:val="24"/>
        </w:rPr>
      </w:pPr>
      <w:r w:rsidRPr="004B730F">
        <w:rPr>
          <w:rFonts w:hint="eastAsia"/>
          <w:sz w:val="24"/>
          <w:szCs w:val="24"/>
        </w:rPr>
        <w:t>貳、地點：本部第</w:t>
      </w:r>
      <w:r w:rsidRPr="004B730F">
        <w:rPr>
          <w:sz w:val="24"/>
          <w:szCs w:val="24"/>
        </w:rPr>
        <w:t>2</w:t>
      </w:r>
      <w:r w:rsidRPr="004B730F">
        <w:rPr>
          <w:rFonts w:hint="eastAsia"/>
          <w:sz w:val="24"/>
          <w:szCs w:val="24"/>
        </w:rPr>
        <w:t>辦公室</w:t>
      </w:r>
      <w:r w:rsidRPr="004B730F">
        <w:rPr>
          <w:sz w:val="24"/>
          <w:szCs w:val="24"/>
        </w:rPr>
        <w:t>B1</w:t>
      </w:r>
      <w:r w:rsidRPr="004B730F">
        <w:rPr>
          <w:rFonts w:hint="eastAsia"/>
          <w:sz w:val="24"/>
          <w:szCs w:val="24"/>
        </w:rPr>
        <w:t>會議室</w:t>
      </w:r>
    </w:p>
    <w:p w:rsidR="009D51B2" w:rsidRPr="004B730F" w:rsidRDefault="009D51B2" w:rsidP="00B929EE">
      <w:pPr>
        <w:pStyle w:val="a0"/>
        <w:kinsoku w:val="0"/>
        <w:overflowPunct w:val="0"/>
        <w:spacing w:beforeLines="0" w:afterLines="0" w:line="420" w:lineRule="exact"/>
        <w:rPr>
          <w:sz w:val="24"/>
          <w:szCs w:val="24"/>
        </w:rPr>
      </w:pPr>
      <w:r w:rsidRPr="004B730F">
        <w:rPr>
          <w:rFonts w:hint="eastAsia"/>
          <w:sz w:val="24"/>
          <w:szCs w:val="24"/>
        </w:rPr>
        <w:t>參、主席：朱委員兼召集人楠</w:t>
      </w:r>
    </w:p>
    <w:p w:rsidR="009D51B2" w:rsidRPr="004B730F" w:rsidRDefault="009D51B2" w:rsidP="00B929EE">
      <w:pPr>
        <w:pStyle w:val="a0"/>
        <w:kinsoku w:val="0"/>
        <w:overflowPunct w:val="0"/>
        <w:spacing w:beforeLines="0" w:afterLines="0" w:line="420" w:lineRule="exact"/>
        <w:ind w:left="480" w:hangingChars="200" w:hanging="480"/>
        <w:rPr>
          <w:sz w:val="24"/>
          <w:szCs w:val="24"/>
        </w:rPr>
      </w:pPr>
      <w:r w:rsidRPr="004B730F">
        <w:rPr>
          <w:rFonts w:hint="eastAsia"/>
          <w:sz w:val="24"/>
          <w:szCs w:val="24"/>
        </w:rPr>
        <w:t>肆、出席人員：</w:t>
      </w:r>
      <w:r w:rsidRPr="004B730F">
        <w:rPr>
          <w:rFonts w:hint="eastAsia"/>
          <w:b w:val="0"/>
          <w:sz w:val="24"/>
          <w:szCs w:val="24"/>
        </w:rPr>
        <w:t>李委員震山、林委員錫堯、林委員朝松、</w:t>
      </w:r>
      <w:r w:rsidRPr="004B730F">
        <w:rPr>
          <w:rFonts w:ascii="標楷體" w:hAnsi="標楷體" w:hint="eastAsia"/>
          <w:b w:val="0"/>
          <w:sz w:val="24"/>
          <w:szCs w:val="24"/>
        </w:rPr>
        <w:t>胡委員方新、姜委員素娥、施委員惠芬、張委員正勝、</w:t>
      </w:r>
      <w:r w:rsidRPr="004B730F">
        <w:rPr>
          <w:rFonts w:hint="eastAsia"/>
          <w:b w:val="0"/>
          <w:sz w:val="24"/>
          <w:szCs w:val="24"/>
        </w:rPr>
        <w:t>陳委員明堂、陳委員清秀、陳委員愛娥、曾委員華松、</w:t>
      </w:r>
      <w:r w:rsidRPr="004B730F">
        <w:rPr>
          <w:rFonts w:ascii="標楷體" w:hAnsi="標楷體" w:hint="eastAsia"/>
          <w:b w:val="0"/>
          <w:sz w:val="24"/>
          <w:szCs w:val="24"/>
        </w:rPr>
        <w:t>黃委員綠星、蔡委員震榮</w:t>
      </w:r>
      <w:r w:rsidRPr="004B730F">
        <w:rPr>
          <w:rFonts w:hint="eastAsia"/>
          <w:b w:val="0"/>
          <w:bCs/>
          <w:sz w:val="24"/>
          <w:szCs w:val="24"/>
        </w:rPr>
        <w:t>（以上諮詢委員依委員姓氏筆畫列序）</w:t>
      </w:r>
    </w:p>
    <w:p w:rsidR="009D51B2" w:rsidRPr="004B730F" w:rsidRDefault="009D51B2" w:rsidP="00B929EE">
      <w:pPr>
        <w:pStyle w:val="a0"/>
        <w:kinsoku w:val="0"/>
        <w:overflowPunct w:val="0"/>
        <w:spacing w:beforeLines="0" w:afterLines="0" w:line="420" w:lineRule="exact"/>
        <w:ind w:left="480" w:hangingChars="200" w:hanging="480"/>
        <w:rPr>
          <w:b w:val="0"/>
          <w:bCs/>
          <w:sz w:val="24"/>
          <w:szCs w:val="24"/>
        </w:rPr>
      </w:pPr>
      <w:r w:rsidRPr="004B730F">
        <w:rPr>
          <w:rFonts w:hint="eastAsia"/>
          <w:sz w:val="24"/>
          <w:szCs w:val="24"/>
        </w:rPr>
        <w:t>伍、列席人員：</w:t>
      </w:r>
      <w:r w:rsidRPr="004B730F">
        <w:rPr>
          <w:rFonts w:hint="eastAsia"/>
          <w:b w:val="0"/>
          <w:bCs/>
          <w:sz w:val="24"/>
          <w:szCs w:val="24"/>
        </w:rPr>
        <w:t>如後附簽到簿</w:t>
      </w:r>
    </w:p>
    <w:p w:rsidR="009D51B2" w:rsidRPr="004B730F" w:rsidRDefault="009D51B2" w:rsidP="00B929EE">
      <w:pPr>
        <w:pStyle w:val="a0"/>
        <w:kinsoku w:val="0"/>
        <w:overflowPunct w:val="0"/>
        <w:spacing w:beforeLines="0" w:afterLines="0" w:line="420" w:lineRule="exact"/>
        <w:ind w:left="480" w:hangingChars="200" w:hanging="480"/>
        <w:rPr>
          <w:sz w:val="24"/>
          <w:szCs w:val="24"/>
        </w:rPr>
      </w:pPr>
      <w:r w:rsidRPr="004B730F">
        <w:rPr>
          <w:rFonts w:hint="eastAsia"/>
          <w:sz w:val="24"/>
          <w:szCs w:val="24"/>
        </w:rPr>
        <w:t>陸、討論事項：</w:t>
      </w:r>
    </w:p>
    <w:p w:rsidR="009D51B2" w:rsidRPr="004B730F" w:rsidRDefault="009D51B2" w:rsidP="00B929EE">
      <w:pPr>
        <w:pStyle w:val="a0"/>
        <w:kinsoku w:val="0"/>
        <w:overflowPunct w:val="0"/>
        <w:spacing w:beforeLines="0" w:afterLines="0" w:line="420" w:lineRule="exact"/>
        <w:ind w:firstLineChars="236" w:firstLine="567"/>
        <w:jc w:val="left"/>
        <w:rPr>
          <w:rFonts w:ascii="標楷體"/>
          <w:sz w:val="24"/>
          <w:szCs w:val="24"/>
        </w:rPr>
      </w:pPr>
      <w:r>
        <w:rPr>
          <w:rFonts w:hint="eastAsia"/>
          <w:sz w:val="24"/>
          <w:szCs w:val="24"/>
        </w:rPr>
        <w:t>一</w:t>
      </w:r>
      <w:r>
        <w:rPr>
          <w:rFonts w:ascii="標楷體" w:hAnsi="標楷體" w:hint="eastAsia"/>
          <w:szCs w:val="24"/>
        </w:rPr>
        <w:t>、</w:t>
      </w:r>
      <w:r w:rsidRPr="004B730F">
        <w:rPr>
          <w:rFonts w:hint="eastAsia"/>
          <w:sz w:val="24"/>
          <w:szCs w:val="24"/>
        </w:rPr>
        <w:t>問題：</w:t>
      </w:r>
    </w:p>
    <w:p w:rsidR="009D51B2" w:rsidRPr="004B730F" w:rsidRDefault="009D51B2" w:rsidP="00B929EE">
      <w:pPr>
        <w:spacing w:line="420" w:lineRule="exact"/>
        <w:ind w:leftChars="236" w:left="1274" w:hangingChars="295" w:hanging="708"/>
        <w:rPr>
          <w:rFonts w:ascii="標楷體" w:eastAsia="標楷體"/>
          <w:szCs w:val="24"/>
        </w:rPr>
      </w:pPr>
      <w:r w:rsidRPr="004B730F">
        <w:rPr>
          <w:rFonts w:ascii="標楷體" w:eastAsia="標楷體" w:hint="eastAsia"/>
          <w:szCs w:val="24"/>
        </w:rPr>
        <w:t>（一）現行法律條文中定有「沒入」之規定，是否均為裁罰性不利處分而有行政罰法（以下簡稱本法）之適用？</w:t>
      </w:r>
    </w:p>
    <w:p w:rsidR="009D51B2" w:rsidRPr="004B730F" w:rsidRDefault="009D51B2" w:rsidP="00B929EE">
      <w:pPr>
        <w:spacing w:line="420" w:lineRule="exact"/>
        <w:ind w:leftChars="236" w:left="1274" w:hangingChars="295" w:hanging="708"/>
        <w:rPr>
          <w:rFonts w:ascii="標楷體" w:eastAsia="標楷體"/>
          <w:szCs w:val="24"/>
        </w:rPr>
      </w:pPr>
      <w:r w:rsidRPr="004B730F">
        <w:rPr>
          <w:rFonts w:ascii="標楷體" w:eastAsia="標楷體" w:hint="eastAsia"/>
          <w:szCs w:val="24"/>
        </w:rPr>
        <w:t>（二）承上題，如採否定見解，則附件</w:t>
      </w:r>
      <w:r w:rsidRPr="004B730F">
        <w:rPr>
          <w:rFonts w:ascii="標楷體" w:eastAsia="標楷體"/>
          <w:szCs w:val="24"/>
        </w:rPr>
        <w:t>1</w:t>
      </w:r>
      <w:r w:rsidRPr="004B730F">
        <w:rPr>
          <w:rFonts w:ascii="標楷體" w:eastAsia="標楷體" w:hint="eastAsia"/>
          <w:szCs w:val="24"/>
        </w:rPr>
        <w:t>表列各沒入規定，何者非屬行政罰？</w:t>
      </w:r>
    </w:p>
    <w:p w:rsidR="009D51B2" w:rsidRPr="004B730F" w:rsidRDefault="009D51B2" w:rsidP="00B929EE">
      <w:pPr>
        <w:spacing w:line="420" w:lineRule="exact"/>
        <w:ind w:leftChars="236" w:left="1274" w:hangingChars="295" w:hanging="708"/>
        <w:rPr>
          <w:rFonts w:ascii="標楷體" w:eastAsia="標楷體" w:hAnsi="標楷體"/>
          <w:szCs w:val="24"/>
        </w:rPr>
      </w:pPr>
      <w:r w:rsidRPr="004B730F">
        <w:rPr>
          <w:rFonts w:ascii="標楷體" w:eastAsia="標楷體" w:hint="eastAsia"/>
          <w:szCs w:val="24"/>
        </w:rPr>
        <w:t>（三）現行法律對於違反行政法上義務行為之規定而定有「…不問何人所有沒入之</w:t>
      </w:r>
      <w:r w:rsidRPr="005D7AEB">
        <w:rPr>
          <w:rFonts w:ascii="標楷體" w:eastAsia="標楷體" w:hint="eastAsia"/>
          <w:szCs w:val="24"/>
        </w:rPr>
        <w:t>」、「…不問屬於行為人或犯人與否，均得沒入…」、「…不問</w:t>
      </w:r>
      <w:r w:rsidRPr="004B730F">
        <w:rPr>
          <w:rFonts w:ascii="標楷體" w:eastAsia="標楷體" w:hint="eastAsia"/>
          <w:szCs w:val="24"/>
        </w:rPr>
        <w:t>屬於</w:t>
      </w:r>
      <w:r w:rsidRPr="005D7AEB">
        <w:rPr>
          <w:rFonts w:ascii="標楷體" w:eastAsia="標楷體" w:hint="eastAsia"/>
          <w:szCs w:val="24"/>
        </w:rPr>
        <w:t>受處罰人與否，</w:t>
      </w:r>
      <w:r w:rsidRPr="004B730F">
        <w:rPr>
          <w:rFonts w:ascii="標楷體" w:eastAsia="標楷體" w:hint="eastAsia"/>
          <w:szCs w:val="24"/>
        </w:rPr>
        <w:t>沒入之</w:t>
      </w:r>
      <w:r w:rsidRPr="005D7AEB">
        <w:rPr>
          <w:rFonts w:ascii="標楷體" w:eastAsia="標楷體" w:hint="eastAsia"/>
          <w:szCs w:val="24"/>
        </w:rPr>
        <w:t>…」或相類似</w:t>
      </w:r>
      <w:r w:rsidRPr="004B730F">
        <w:rPr>
          <w:rFonts w:ascii="標楷體" w:eastAsia="標楷體" w:hint="eastAsia"/>
          <w:szCs w:val="24"/>
        </w:rPr>
        <w:t>之規定者</w:t>
      </w:r>
      <w:r w:rsidRPr="005D7AEB">
        <w:rPr>
          <w:rFonts w:ascii="標楷體" w:eastAsia="標楷體" w:hint="eastAsia"/>
          <w:szCs w:val="24"/>
        </w:rPr>
        <w:t>（如附</w:t>
      </w:r>
      <w:r w:rsidRPr="004B730F">
        <w:rPr>
          <w:rFonts w:ascii="標楷體" w:eastAsia="標楷體" w:hint="eastAsia"/>
          <w:szCs w:val="24"/>
        </w:rPr>
        <w:t>件</w:t>
      </w:r>
      <w:r w:rsidRPr="004B730F">
        <w:rPr>
          <w:rFonts w:ascii="標楷體" w:eastAsia="標楷體"/>
          <w:szCs w:val="24"/>
        </w:rPr>
        <w:t>2</w:t>
      </w:r>
      <w:r w:rsidRPr="004B730F">
        <w:rPr>
          <w:rFonts w:ascii="標楷體" w:eastAsia="標楷體" w:hint="eastAsia"/>
          <w:szCs w:val="24"/>
        </w:rPr>
        <w:t>），是否仍以行為人或物之所有人具有責任能力或責任要件時，行政機關始得沒入，換言之，是否排除本法第</w:t>
      </w:r>
      <w:r w:rsidRPr="004B730F">
        <w:rPr>
          <w:rFonts w:ascii="標楷體" w:eastAsia="標楷體"/>
          <w:szCs w:val="24"/>
        </w:rPr>
        <w:t>7</w:t>
      </w:r>
      <w:r w:rsidRPr="004B730F">
        <w:rPr>
          <w:rFonts w:ascii="標楷體" w:eastAsia="標楷體" w:hint="eastAsia"/>
          <w:szCs w:val="24"/>
        </w:rPr>
        <w:t>條及第</w:t>
      </w:r>
      <w:r w:rsidRPr="004B730F">
        <w:rPr>
          <w:rFonts w:ascii="標楷體" w:eastAsia="標楷體"/>
          <w:szCs w:val="24"/>
        </w:rPr>
        <w:t>9</w:t>
      </w:r>
      <w:r w:rsidRPr="004B730F">
        <w:rPr>
          <w:rFonts w:ascii="標楷體" w:eastAsia="標楷體" w:hint="eastAsia"/>
          <w:szCs w:val="24"/>
        </w:rPr>
        <w:t>條規定之適用？</w:t>
      </w:r>
    </w:p>
    <w:p w:rsidR="009D51B2" w:rsidRPr="004E7D24" w:rsidRDefault="009D51B2" w:rsidP="00B929EE">
      <w:pPr>
        <w:pStyle w:val="a0"/>
        <w:kinsoku w:val="0"/>
        <w:overflowPunct w:val="0"/>
        <w:spacing w:beforeLines="0" w:afterLines="0" w:line="420" w:lineRule="exact"/>
        <w:ind w:firstLineChars="236" w:firstLine="567"/>
        <w:jc w:val="left"/>
        <w:rPr>
          <w:rFonts w:ascii="標楷體"/>
          <w:bCs/>
          <w:sz w:val="24"/>
          <w:szCs w:val="24"/>
        </w:rPr>
      </w:pPr>
      <w:r>
        <w:rPr>
          <w:rFonts w:ascii="標楷體" w:hint="eastAsia"/>
          <w:bCs/>
          <w:sz w:val="24"/>
          <w:szCs w:val="24"/>
        </w:rPr>
        <w:t>二</w:t>
      </w:r>
      <w:r>
        <w:rPr>
          <w:rFonts w:ascii="標楷體" w:hAnsi="標楷體" w:hint="eastAsia"/>
          <w:szCs w:val="24"/>
        </w:rPr>
        <w:t>、</w:t>
      </w:r>
      <w:r>
        <w:rPr>
          <w:rFonts w:ascii="標楷體" w:hint="eastAsia"/>
          <w:bCs/>
          <w:sz w:val="24"/>
          <w:szCs w:val="24"/>
        </w:rPr>
        <w:t>背景說明及</w:t>
      </w:r>
      <w:r>
        <w:rPr>
          <w:rFonts w:hint="eastAsia"/>
          <w:sz w:val="24"/>
          <w:szCs w:val="24"/>
        </w:rPr>
        <w:t>問題</w:t>
      </w:r>
      <w:r>
        <w:rPr>
          <w:rFonts w:ascii="標楷體" w:hint="eastAsia"/>
          <w:bCs/>
          <w:sz w:val="24"/>
          <w:szCs w:val="24"/>
        </w:rPr>
        <w:t>爭點：</w:t>
      </w:r>
    </w:p>
    <w:p w:rsidR="009D51B2" w:rsidRPr="005D7AEB" w:rsidRDefault="009D51B2" w:rsidP="00B929EE">
      <w:pPr>
        <w:spacing w:line="420" w:lineRule="exact"/>
        <w:ind w:leftChars="236" w:left="1222" w:hangingChars="273" w:hanging="656"/>
        <w:rPr>
          <w:rFonts w:ascii="標楷體" w:eastAsia="標楷體"/>
          <w:b/>
          <w:szCs w:val="24"/>
        </w:rPr>
      </w:pPr>
      <w:r w:rsidRPr="005D7AEB">
        <w:rPr>
          <w:rFonts w:ascii="標楷體" w:eastAsia="標楷體" w:hint="eastAsia"/>
          <w:b/>
          <w:szCs w:val="24"/>
        </w:rPr>
        <w:t>（一）</w:t>
      </w:r>
      <w:r w:rsidRPr="005D7AEB">
        <w:rPr>
          <w:rFonts w:ascii="標楷體" w:eastAsia="標楷體" w:hint="eastAsia"/>
          <w:b/>
          <w:bCs/>
          <w:szCs w:val="24"/>
        </w:rPr>
        <w:t>討論事項（</w:t>
      </w:r>
      <w:r w:rsidRPr="005D7AEB">
        <w:rPr>
          <w:rFonts w:ascii="標楷體" w:eastAsia="標楷體" w:hint="eastAsia"/>
          <w:b/>
          <w:szCs w:val="24"/>
        </w:rPr>
        <w:t>一）及（二）</w:t>
      </w:r>
    </w:p>
    <w:p w:rsidR="009D51B2" w:rsidRPr="004B730F" w:rsidRDefault="009D51B2" w:rsidP="00B929EE">
      <w:pPr>
        <w:spacing w:line="420" w:lineRule="exact"/>
        <w:ind w:leftChars="295" w:left="708" w:firstLineChars="200" w:firstLine="480"/>
        <w:rPr>
          <w:rFonts w:ascii="標楷體" w:eastAsia="標楷體"/>
          <w:szCs w:val="24"/>
        </w:rPr>
      </w:pPr>
      <w:r w:rsidRPr="004B730F">
        <w:rPr>
          <w:rFonts w:ascii="標楷體" w:eastAsia="標楷體" w:hint="eastAsia"/>
          <w:szCs w:val="24"/>
        </w:rPr>
        <w:t>按本法第</w:t>
      </w:r>
      <w:r w:rsidRPr="004B730F">
        <w:rPr>
          <w:rFonts w:ascii="標楷體" w:eastAsia="標楷體"/>
          <w:szCs w:val="24"/>
        </w:rPr>
        <w:t>1</w:t>
      </w:r>
      <w:r w:rsidRPr="004B730F">
        <w:rPr>
          <w:rFonts w:ascii="標楷體" w:eastAsia="標楷體" w:hint="eastAsia"/>
          <w:szCs w:val="24"/>
        </w:rPr>
        <w:t>條規定：「違反行政法上義務而受罰鍰、沒入或其他種類行政罰之處罰時，適用本法。但其他法律有特別規定者，從其規定。」準此，本法之適用範圍，包括罰鍰、沒入及其他種類行政罰；惟查現行法律中定有「沒入」之規定，似非均屬對於違反行政法上義務行為所為具有裁罰性之不利處分，現行法律之「沒入」，或有屬行政契約或行政處分附款之性質、或有僅具預防目的、或維護大眾及社會秩序性質所為類似對於違禁物或查禁品之沒入、甚或兼具多種性質之沒入處分等（如附件</w:t>
      </w:r>
      <w:r w:rsidRPr="004B730F">
        <w:rPr>
          <w:rFonts w:ascii="標楷體" w:eastAsia="標楷體"/>
          <w:szCs w:val="24"/>
        </w:rPr>
        <w:t>1</w:t>
      </w:r>
      <w:r w:rsidRPr="004B730F">
        <w:rPr>
          <w:rFonts w:ascii="標楷體" w:eastAsia="標楷體" w:hint="eastAsia"/>
          <w:szCs w:val="24"/>
        </w:rPr>
        <w:t>－現行行政法律有關沒入規定類型試析表）。復查實務判決中有認為關稅法中對違禁品之沒入，乃係對該物品沒入之義務規定，不以故意過失為要件，不問是否屬於行為人所有，亦不論行為人有無受到裁罰性不利處分，均得沒入（最高行政法院</w:t>
      </w:r>
      <w:r w:rsidRPr="004B730F">
        <w:rPr>
          <w:rFonts w:ascii="標楷體" w:eastAsia="標楷體"/>
          <w:szCs w:val="24"/>
        </w:rPr>
        <w:t>95</w:t>
      </w:r>
      <w:r w:rsidRPr="004B730F">
        <w:rPr>
          <w:rFonts w:ascii="標楷體" w:eastAsia="標楷體" w:hint="eastAsia"/>
          <w:szCs w:val="24"/>
        </w:rPr>
        <w:t>年判字第</w:t>
      </w:r>
      <w:r w:rsidRPr="004B730F">
        <w:rPr>
          <w:rFonts w:ascii="標楷體" w:eastAsia="標楷體"/>
          <w:szCs w:val="24"/>
        </w:rPr>
        <w:t>1888</w:t>
      </w:r>
      <w:r w:rsidRPr="004B730F">
        <w:rPr>
          <w:rFonts w:ascii="標楷體" w:eastAsia="標楷體" w:hint="eastAsia"/>
          <w:szCs w:val="24"/>
        </w:rPr>
        <w:t>號及高雄高等行政法院</w:t>
      </w:r>
      <w:r w:rsidRPr="004B730F">
        <w:rPr>
          <w:rFonts w:ascii="標楷體" w:eastAsia="標楷體"/>
          <w:szCs w:val="24"/>
        </w:rPr>
        <w:t>92</w:t>
      </w:r>
      <w:r w:rsidRPr="004B730F">
        <w:rPr>
          <w:rFonts w:ascii="標楷體" w:eastAsia="標楷體" w:hint="eastAsia"/>
          <w:szCs w:val="24"/>
        </w:rPr>
        <w:t>年訴字第</w:t>
      </w:r>
      <w:r w:rsidRPr="004B730F">
        <w:rPr>
          <w:rFonts w:ascii="標楷體" w:eastAsia="標楷體"/>
          <w:szCs w:val="24"/>
        </w:rPr>
        <w:t>680</w:t>
      </w:r>
      <w:r w:rsidRPr="004B730F">
        <w:rPr>
          <w:rFonts w:ascii="標楷體" w:eastAsia="標楷體" w:hint="eastAsia"/>
          <w:szCs w:val="24"/>
        </w:rPr>
        <w:t>號判決參照），從而，現行法律中之「沒入」規定，是否不問其性質均有本法之適用？或應視具體條文是否屬裁罰性之不利處分而個別認定是否適用本法？非屬無疑，爰提請討論。</w:t>
      </w:r>
    </w:p>
    <w:p w:rsidR="009D51B2" w:rsidRPr="004B730F" w:rsidRDefault="009D51B2" w:rsidP="00B929EE">
      <w:pPr>
        <w:spacing w:line="420" w:lineRule="exact"/>
        <w:ind w:leftChars="295" w:left="708" w:firstLineChars="200" w:firstLine="480"/>
        <w:rPr>
          <w:rFonts w:ascii="標楷體" w:eastAsia="標楷體"/>
          <w:szCs w:val="24"/>
        </w:rPr>
      </w:pPr>
      <w:r w:rsidRPr="004B730F">
        <w:rPr>
          <w:rFonts w:ascii="標楷體" w:eastAsia="標楷體" w:hint="eastAsia"/>
          <w:szCs w:val="24"/>
        </w:rPr>
        <w:t>又如決議採後者，則附件</w:t>
      </w:r>
      <w:r w:rsidRPr="004B730F">
        <w:rPr>
          <w:rFonts w:ascii="標楷體" w:eastAsia="標楷體"/>
          <w:szCs w:val="24"/>
        </w:rPr>
        <w:t>1</w:t>
      </w:r>
      <w:r w:rsidRPr="004B730F">
        <w:rPr>
          <w:rFonts w:ascii="標楷體" w:eastAsia="標楷體" w:hint="eastAsia"/>
          <w:szCs w:val="24"/>
        </w:rPr>
        <w:t>表列各沒入規定，何者非屬行政罰？提請討論。</w:t>
      </w:r>
    </w:p>
    <w:p w:rsidR="009D51B2" w:rsidRPr="005D7AEB" w:rsidRDefault="009D51B2" w:rsidP="00B929EE">
      <w:pPr>
        <w:spacing w:line="420" w:lineRule="exact"/>
        <w:ind w:leftChars="236" w:left="1224" w:hangingChars="274" w:hanging="658"/>
        <w:rPr>
          <w:rFonts w:ascii="標楷體" w:eastAsia="標楷體"/>
          <w:b/>
          <w:szCs w:val="24"/>
        </w:rPr>
      </w:pPr>
      <w:r w:rsidRPr="005D7AEB">
        <w:rPr>
          <w:rFonts w:ascii="標楷體" w:eastAsia="標楷體" w:hint="eastAsia"/>
          <w:b/>
          <w:szCs w:val="24"/>
        </w:rPr>
        <w:t>（二）討論</w:t>
      </w:r>
      <w:r w:rsidRPr="005D7AEB">
        <w:rPr>
          <w:rFonts w:ascii="標楷體" w:eastAsia="標楷體" w:hint="eastAsia"/>
          <w:b/>
          <w:bCs/>
          <w:szCs w:val="24"/>
        </w:rPr>
        <w:t>事項（</w:t>
      </w:r>
      <w:r w:rsidRPr="005D7AEB">
        <w:rPr>
          <w:rFonts w:ascii="標楷體" w:eastAsia="標楷體" w:hint="eastAsia"/>
          <w:b/>
          <w:szCs w:val="24"/>
        </w:rPr>
        <w:t>三）：</w:t>
      </w:r>
    </w:p>
    <w:p w:rsidR="009D51B2" w:rsidRPr="004B730F" w:rsidRDefault="009D51B2" w:rsidP="00B929EE">
      <w:pPr>
        <w:spacing w:line="420" w:lineRule="exact"/>
        <w:ind w:leftChars="295" w:left="708" w:firstLineChars="200" w:firstLine="480"/>
        <w:rPr>
          <w:rFonts w:ascii="標楷體" w:eastAsia="標楷體"/>
          <w:bCs/>
          <w:szCs w:val="24"/>
        </w:rPr>
      </w:pPr>
      <w:r w:rsidRPr="004B730F">
        <w:rPr>
          <w:rFonts w:ascii="標楷體" w:eastAsia="標楷體" w:hAnsi="標楷體" w:cs="新細明體" w:hint="eastAsia"/>
          <w:color w:val="000000"/>
          <w:kern w:val="0"/>
          <w:szCs w:val="24"/>
        </w:rPr>
        <w:t>本法之沒入規定，係以制裁違反行政法上義務行為為目的所賦予之法律效果，應當以</w:t>
      </w:r>
      <w:r w:rsidRPr="004B730F">
        <w:rPr>
          <w:rFonts w:ascii="標楷體" w:eastAsia="標楷體" w:hint="eastAsia"/>
          <w:szCs w:val="24"/>
        </w:rPr>
        <w:t>該行為該當於違反行政法上義務之構成要件，且欠缺阻卻違法事由並具有應歸責性為前提</w:t>
      </w:r>
      <w:r w:rsidRPr="004B730F">
        <w:rPr>
          <w:rFonts w:ascii="標楷體" w:eastAsia="標楷體" w:hAnsi="標楷體" w:cs="新細明體" w:hint="eastAsia"/>
          <w:color w:val="000000"/>
          <w:kern w:val="0"/>
          <w:szCs w:val="24"/>
        </w:rPr>
        <w:t>。是以</w:t>
      </w:r>
      <w:r w:rsidRPr="004B730F">
        <w:rPr>
          <w:rFonts w:ascii="標楷體" w:eastAsia="標楷體" w:hint="eastAsia"/>
          <w:szCs w:val="24"/>
        </w:rPr>
        <w:t>，本法第</w:t>
      </w:r>
      <w:r w:rsidRPr="004B730F">
        <w:rPr>
          <w:rFonts w:ascii="標楷體" w:eastAsia="標楷體"/>
          <w:szCs w:val="24"/>
        </w:rPr>
        <w:t>21</w:t>
      </w:r>
      <w:r w:rsidRPr="004B730F">
        <w:rPr>
          <w:rFonts w:ascii="標楷體" w:eastAsia="標楷體" w:hint="eastAsia"/>
          <w:szCs w:val="24"/>
        </w:rPr>
        <w:t>條規定「沒入之物」原則上以受處罰者所有為限，例外不屬於受處罰者所有時，須有第</w:t>
      </w:r>
      <w:r w:rsidRPr="004B730F">
        <w:rPr>
          <w:rFonts w:ascii="標楷體" w:eastAsia="標楷體"/>
          <w:szCs w:val="24"/>
        </w:rPr>
        <w:t>22</w:t>
      </w:r>
      <w:r w:rsidRPr="004B730F">
        <w:rPr>
          <w:rFonts w:ascii="標楷體" w:eastAsia="標楷體" w:hint="eastAsia"/>
          <w:szCs w:val="24"/>
        </w:rPr>
        <w:t>條及第</w:t>
      </w:r>
      <w:r w:rsidRPr="004B730F">
        <w:rPr>
          <w:rFonts w:ascii="標楷體" w:eastAsia="標楷體"/>
          <w:szCs w:val="24"/>
        </w:rPr>
        <w:t>23</w:t>
      </w:r>
      <w:r w:rsidRPr="004B730F">
        <w:rPr>
          <w:rFonts w:ascii="標楷體" w:eastAsia="標楷體" w:hint="eastAsia"/>
          <w:szCs w:val="24"/>
        </w:rPr>
        <w:t>條情形之一，始得依該規定予以沒入。查現行法律對於違反行政法上義務行為之規定而定有「…不問何人所有，沒入之。」者，應屬本法第</w:t>
      </w:r>
      <w:r w:rsidRPr="004B730F">
        <w:rPr>
          <w:rFonts w:ascii="標楷體" w:eastAsia="標楷體"/>
          <w:szCs w:val="24"/>
        </w:rPr>
        <w:t>21</w:t>
      </w:r>
      <w:r w:rsidRPr="004B730F">
        <w:rPr>
          <w:rFonts w:ascii="標楷體" w:eastAsia="標楷體" w:hint="eastAsia"/>
          <w:szCs w:val="24"/>
        </w:rPr>
        <w:t>條之特別規定，於有違反行政法上義務行為存在，該應被沒入之物，不問何人所有，即可沒入。此類沒入規定雖已明定不問何人所有，惟是否仍以行為人或物之所有人具有責任能力或責任要件時，行政機關始得沒入，換言之，是否排除本法第</w:t>
      </w:r>
      <w:r w:rsidRPr="004B730F">
        <w:rPr>
          <w:rFonts w:ascii="標楷體" w:eastAsia="標楷體"/>
          <w:szCs w:val="24"/>
        </w:rPr>
        <w:t>7</w:t>
      </w:r>
      <w:r w:rsidRPr="004B730F">
        <w:rPr>
          <w:rFonts w:ascii="標楷體" w:eastAsia="標楷體" w:hint="eastAsia"/>
          <w:szCs w:val="24"/>
        </w:rPr>
        <w:t>條及第</w:t>
      </w:r>
      <w:r w:rsidRPr="004B730F">
        <w:rPr>
          <w:rFonts w:ascii="標楷體" w:eastAsia="標楷體"/>
          <w:szCs w:val="24"/>
        </w:rPr>
        <w:t>9</w:t>
      </w:r>
      <w:r w:rsidRPr="004B730F">
        <w:rPr>
          <w:rFonts w:ascii="標楷體" w:eastAsia="標楷體" w:hint="eastAsia"/>
          <w:szCs w:val="24"/>
        </w:rPr>
        <w:t>條規定之適用？不無疑義，因法無明文，爰提請討論。</w:t>
      </w:r>
    </w:p>
    <w:p w:rsidR="009D51B2" w:rsidRPr="004B730F" w:rsidRDefault="009D51B2" w:rsidP="00B929EE">
      <w:pPr>
        <w:pStyle w:val="a0"/>
        <w:kinsoku w:val="0"/>
        <w:overflowPunct w:val="0"/>
        <w:spacing w:beforeLines="0" w:afterLines="0" w:line="420" w:lineRule="exact"/>
        <w:ind w:firstLineChars="236" w:firstLine="567"/>
        <w:rPr>
          <w:rFonts w:ascii="標楷體"/>
          <w:sz w:val="24"/>
          <w:szCs w:val="24"/>
        </w:rPr>
      </w:pPr>
      <w:r>
        <w:rPr>
          <w:rFonts w:ascii="標楷體" w:hint="eastAsia"/>
          <w:sz w:val="24"/>
          <w:szCs w:val="24"/>
        </w:rPr>
        <w:t>三、</w:t>
      </w:r>
      <w:r w:rsidRPr="004B730F">
        <w:rPr>
          <w:rFonts w:ascii="標楷體" w:hint="eastAsia"/>
          <w:sz w:val="24"/>
          <w:szCs w:val="24"/>
        </w:rPr>
        <w:t>法律事務司初步研究意見：</w:t>
      </w:r>
    </w:p>
    <w:p w:rsidR="009D51B2" w:rsidRPr="005D7AEB" w:rsidRDefault="009D51B2" w:rsidP="00B929EE">
      <w:pPr>
        <w:spacing w:line="420" w:lineRule="exact"/>
        <w:ind w:leftChars="236" w:left="1224" w:hangingChars="274" w:hanging="658"/>
        <w:jc w:val="both"/>
        <w:rPr>
          <w:rFonts w:ascii="標楷體" w:eastAsia="標楷體"/>
          <w:b/>
          <w:bCs/>
          <w:szCs w:val="24"/>
        </w:rPr>
      </w:pPr>
      <w:r w:rsidRPr="005D7AEB">
        <w:rPr>
          <w:rFonts w:ascii="標楷體" w:eastAsia="標楷體" w:hint="eastAsia"/>
          <w:b/>
          <w:bCs/>
          <w:szCs w:val="24"/>
        </w:rPr>
        <w:t>（一）討論事項（一）：</w:t>
      </w:r>
    </w:p>
    <w:p w:rsidR="009D51B2" w:rsidRPr="004B730F" w:rsidRDefault="009D51B2" w:rsidP="00B929EE">
      <w:pPr>
        <w:autoSpaceDE w:val="0"/>
        <w:autoSpaceDN w:val="0"/>
        <w:adjustRightInd w:val="0"/>
        <w:spacing w:line="420" w:lineRule="exact"/>
        <w:ind w:leftChars="245" w:left="1162" w:hangingChars="239" w:hanging="574"/>
        <w:jc w:val="both"/>
        <w:rPr>
          <w:rFonts w:ascii="標楷體" w:eastAsia="標楷體" w:hAnsi="標楷體" w:cs="新細明體"/>
          <w:b/>
          <w:bCs/>
          <w:color w:val="000000"/>
          <w:kern w:val="0"/>
          <w:szCs w:val="24"/>
        </w:rPr>
      </w:pPr>
      <w:r w:rsidRPr="004B730F">
        <w:rPr>
          <w:rFonts w:ascii="標楷體" w:eastAsia="標楷體" w:hAnsi="標楷體" w:cs="新細明體" w:hint="eastAsia"/>
          <w:b/>
          <w:bCs/>
          <w:color w:val="000000"/>
          <w:kern w:val="0"/>
          <w:szCs w:val="24"/>
        </w:rPr>
        <w:t>甲說（肯定說－</w:t>
      </w:r>
      <w:r w:rsidRPr="004B730F">
        <w:rPr>
          <w:rFonts w:ascii="標楷體" w:eastAsia="標楷體" w:hint="eastAsia"/>
          <w:b/>
          <w:szCs w:val="24"/>
        </w:rPr>
        <w:t>均有本法之適用</w:t>
      </w:r>
      <w:r w:rsidRPr="004B730F">
        <w:rPr>
          <w:rFonts w:ascii="標楷體" w:eastAsia="標楷體" w:hAnsi="標楷體" w:cs="新細明體" w:hint="eastAsia"/>
          <w:b/>
          <w:bCs/>
          <w:color w:val="000000"/>
          <w:kern w:val="0"/>
          <w:szCs w:val="24"/>
        </w:rPr>
        <w:t>）：</w:t>
      </w:r>
    </w:p>
    <w:p w:rsidR="009D51B2" w:rsidRPr="004B730F" w:rsidRDefault="009D51B2" w:rsidP="00B929EE">
      <w:pPr>
        <w:autoSpaceDE w:val="0"/>
        <w:autoSpaceDN w:val="0"/>
        <w:adjustRightInd w:val="0"/>
        <w:spacing w:line="420" w:lineRule="exact"/>
        <w:ind w:leftChars="236" w:left="566" w:firstLineChars="210" w:firstLine="504"/>
        <w:jc w:val="both"/>
        <w:rPr>
          <w:rFonts w:ascii="標楷體" w:eastAsia="標楷體" w:hAnsi="標楷體"/>
          <w:szCs w:val="24"/>
        </w:rPr>
      </w:pPr>
      <w:r w:rsidRPr="004B730F">
        <w:rPr>
          <w:rFonts w:ascii="標楷體" w:eastAsia="標楷體" w:hAnsi="標楷體" w:hint="eastAsia"/>
          <w:szCs w:val="24"/>
        </w:rPr>
        <w:t>對於違法者之處罰，應依法為之，乃現代民主法治國家之基本原則。行政罰法之立法目的，乃在於制定共通適用於各類行政罰之統一性、綜合性法典，期使行政罰之解釋與適用有一定之原則與準繩，爰於本法第</w:t>
      </w:r>
      <w:r w:rsidRPr="004B730F">
        <w:rPr>
          <w:rFonts w:ascii="標楷體" w:eastAsia="標楷體" w:hAnsi="標楷體"/>
          <w:szCs w:val="24"/>
        </w:rPr>
        <w:t>1</w:t>
      </w:r>
      <w:r w:rsidRPr="004B730F">
        <w:rPr>
          <w:rFonts w:ascii="標楷體" w:eastAsia="標楷體" w:hAnsi="標楷體" w:hint="eastAsia"/>
          <w:szCs w:val="24"/>
        </w:rPr>
        <w:t>條即已明確規定其適用範圍，</w:t>
      </w:r>
      <w:r w:rsidRPr="004B730F">
        <w:rPr>
          <w:rFonts w:ascii="標楷體" w:eastAsia="標楷體" w:hAnsi="標楷體" w:cs="新細明體" w:hint="eastAsia"/>
          <w:color w:val="000000"/>
          <w:kern w:val="0"/>
          <w:szCs w:val="24"/>
        </w:rPr>
        <w:t>是以，</w:t>
      </w:r>
      <w:r w:rsidRPr="004B730F">
        <w:rPr>
          <w:rFonts w:ascii="標楷體" w:eastAsia="標楷體" w:hint="eastAsia"/>
          <w:szCs w:val="24"/>
        </w:rPr>
        <w:t>其他行政法律中有關「沒入」之規定，倘其立法意旨未有明確特別排除本法規定之適用時，應視為係對於</w:t>
      </w:r>
      <w:r w:rsidRPr="004B730F">
        <w:rPr>
          <w:rFonts w:ascii="標楷體" w:eastAsia="標楷體" w:hAnsi="標楷體" w:cs="新細明體" w:hint="eastAsia"/>
          <w:color w:val="000000"/>
          <w:kern w:val="0"/>
          <w:szCs w:val="24"/>
        </w:rPr>
        <w:t>違反行政法上義務行為之制裁，</w:t>
      </w:r>
      <w:r w:rsidRPr="004B730F">
        <w:rPr>
          <w:rFonts w:ascii="標楷體" w:eastAsia="標楷體" w:hint="eastAsia"/>
          <w:szCs w:val="24"/>
        </w:rPr>
        <w:t>自有本法之適用</w:t>
      </w:r>
      <w:r w:rsidRPr="004B730F">
        <w:rPr>
          <w:rFonts w:ascii="標楷體" w:eastAsia="標楷體" w:hAnsi="標楷體" w:cs="新細明體" w:hint="eastAsia"/>
          <w:color w:val="000000"/>
          <w:kern w:val="0"/>
          <w:szCs w:val="24"/>
        </w:rPr>
        <w:t>。</w:t>
      </w:r>
      <w:r w:rsidRPr="004B730F">
        <w:rPr>
          <w:rFonts w:ascii="標楷體" w:eastAsia="標楷體" w:hint="eastAsia"/>
          <w:szCs w:val="24"/>
        </w:rPr>
        <w:t>縱使「物」本身之性質對於社會安全或公共秩序具有危險性，亦不得以抽象空泛之一般預防、社會安全及公共秩序維護之目的作為理由，排除本法規定而逕就該「物」予以沒入，俾符財產權之保障及</w:t>
      </w:r>
      <w:r w:rsidRPr="004B730F">
        <w:rPr>
          <w:rFonts w:ascii="標楷體" w:eastAsia="標楷體" w:hAnsi="標楷體" w:hint="eastAsia"/>
          <w:szCs w:val="24"/>
        </w:rPr>
        <w:t>法治國家之基本原則。</w:t>
      </w:r>
    </w:p>
    <w:p w:rsidR="009D51B2" w:rsidRPr="004B730F" w:rsidRDefault="009D51B2" w:rsidP="00B929EE">
      <w:pPr>
        <w:autoSpaceDE w:val="0"/>
        <w:autoSpaceDN w:val="0"/>
        <w:adjustRightInd w:val="0"/>
        <w:spacing w:line="420" w:lineRule="exact"/>
        <w:ind w:leftChars="245" w:left="1162" w:hangingChars="239" w:hanging="574"/>
        <w:jc w:val="both"/>
        <w:rPr>
          <w:rFonts w:ascii="標楷體" w:eastAsia="標楷體" w:hAnsi="標楷體" w:cs="新細明體"/>
          <w:b/>
          <w:bCs/>
          <w:color w:val="000000"/>
          <w:kern w:val="0"/>
          <w:szCs w:val="24"/>
        </w:rPr>
      </w:pPr>
      <w:r w:rsidRPr="004B730F">
        <w:rPr>
          <w:rFonts w:ascii="標楷體" w:eastAsia="標楷體" w:hAnsi="標楷體" w:cs="新細明體" w:hint="eastAsia"/>
          <w:b/>
          <w:bCs/>
          <w:color w:val="000000"/>
          <w:kern w:val="0"/>
          <w:szCs w:val="24"/>
        </w:rPr>
        <w:t>乙說（否定說</w:t>
      </w:r>
      <w:r w:rsidRPr="004B730F">
        <w:rPr>
          <w:rFonts w:ascii="標楷體" w:eastAsia="標楷體" w:hAnsi="標楷體" w:cs="新細明體"/>
          <w:b/>
          <w:bCs/>
          <w:color w:val="000000"/>
          <w:kern w:val="0"/>
          <w:szCs w:val="24"/>
        </w:rPr>
        <w:t>—</w:t>
      </w:r>
      <w:r w:rsidRPr="004B730F">
        <w:rPr>
          <w:rFonts w:ascii="標楷體" w:eastAsia="標楷體" w:hAnsi="標楷體" w:cs="新細明體" w:hint="eastAsia"/>
          <w:b/>
          <w:bCs/>
          <w:color w:val="000000"/>
          <w:kern w:val="0"/>
          <w:szCs w:val="24"/>
        </w:rPr>
        <w:t>依具體條文性質個別認定）：</w:t>
      </w:r>
    </w:p>
    <w:p w:rsidR="009D51B2" w:rsidRPr="004B730F" w:rsidRDefault="009D51B2" w:rsidP="00B929EE">
      <w:pPr>
        <w:autoSpaceDE w:val="0"/>
        <w:autoSpaceDN w:val="0"/>
        <w:adjustRightInd w:val="0"/>
        <w:spacing w:line="420" w:lineRule="exact"/>
        <w:ind w:leftChars="232" w:left="557" w:firstLineChars="210" w:firstLine="504"/>
        <w:jc w:val="both"/>
        <w:rPr>
          <w:rFonts w:ascii="標楷體" w:eastAsia="標楷體" w:hAnsi="標楷體" w:cs="新細明體"/>
          <w:color w:val="000000"/>
          <w:kern w:val="0"/>
          <w:szCs w:val="24"/>
        </w:rPr>
      </w:pPr>
      <w:r w:rsidRPr="004B730F">
        <w:rPr>
          <w:rFonts w:ascii="標楷體" w:eastAsia="標楷體" w:hAnsi="標楷體" w:cs="新細明體" w:hint="eastAsia"/>
          <w:color w:val="000000"/>
          <w:kern w:val="0"/>
          <w:szCs w:val="24"/>
        </w:rPr>
        <w:t>國家行政多元任務之達成，未必均以制裁為惟一、必要且有效之手段，</w:t>
      </w:r>
      <w:r w:rsidRPr="004B730F">
        <w:rPr>
          <w:rFonts w:ascii="標楷體" w:eastAsia="標楷體" w:hint="eastAsia"/>
          <w:szCs w:val="24"/>
        </w:rPr>
        <w:t>現行行政法律中有關「沒入」規定，雖多數具有裁罰目的；惟亦有基於維護社會安全與公共秩序或預防目的而為沒入之規定，甚或兼具多種性質。至於</w:t>
      </w:r>
      <w:r w:rsidRPr="004B730F">
        <w:rPr>
          <w:rFonts w:ascii="標楷體" w:eastAsia="標楷體" w:hAnsi="標楷體" w:cs="新細明體" w:hint="eastAsia"/>
          <w:color w:val="000000"/>
          <w:kern w:val="0"/>
          <w:szCs w:val="24"/>
        </w:rPr>
        <w:t>行政罰法所定沒入，則係制裁違反行政法上義務行為為目的所賦予之法律效果，因此，現行行政法律規定中雖名為「沒入」，仍應視其是否係對於違反行政法上義務之規定所為之裁罰性不利處分，如非屬裁罰性不利處分，縱名為「沒入」，亦無本法之適用。</w:t>
      </w:r>
    </w:p>
    <w:p w:rsidR="009D51B2" w:rsidRPr="004B730F" w:rsidRDefault="009D51B2" w:rsidP="00B929EE">
      <w:pPr>
        <w:spacing w:line="420" w:lineRule="exact"/>
        <w:ind w:leftChars="114" w:left="1225" w:hangingChars="396" w:hanging="951"/>
        <w:jc w:val="both"/>
        <w:rPr>
          <w:rFonts w:ascii="標楷體" w:eastAsia="標楷體"/>
          <w:bCs/>
          <w:szCs w:val="24"/>
        </w:rPr>
      </w:pPr>
      <w:r w:rsidRPr="005D7AEB">
        <w:rPr>
          <w:rFonts w:ascii="標楷體" w:eastAsia="標楷體" w:hint="eastAsia"/>
          <w:b/>
          <w:bCs/>
          <w:szCs w:val="24"/>
        </w:rPr>
        <w:t>（二）討論事項（二）：</w:t>
      </w:r>
      <w:r w:rsidRPr="004B730F">
        <w:rPr>
          <w:rFonts w:ascii="標楷體" w:eastAsia="標楷體" w:hint="eastAsia"/>
          <w:bCs/>
          <w:szCs w:val="24"/>
        </w:rPr>
        <w:t>如附件</w:t>
      </w:r>
      <w:r w:rsidRPr="004B730F">
        <w:rPr>
          <w:rFonts w:ascii="標楷體" w:eastAsia="標楷體"/>
          <w:bCs/>
          <w:szCs w:val="24"/>
        </w:rPr>
        <w:t>1</w:t>
      </w:r>
    </w:p>
    <w:p w:rsidR="009D51B2" w:rsidRPr="005D7AEB" w:rsidRDefault="009D51B2" w:rsidP="00B929EE">
      <w:pPr>
        <w:spacing w:line="420" w:lineRule="exact"/>
        <w:ind w:leftChars="114" w:left="1225" w:hangingChars="396" w:hanging="951"/>
        <w:jc w:val="both"/>
        <w:rPr>
          <w:rFonts w:ascii="標楷體" w:eastAsia="標楷體"/>
          <w:b/>
          <w:bCs/>
          <w:szCs w:val="24"/>
        </w:rPr>
      </w:pPr>
      <w:r w:rsidRPr="005D7AEB">
        <w:rPr>
          <w:rFonts w:ascii="標楷體" w:eastAsia="標楷體" w:hint="eastAsia"/>
          <w:b/>
          <w:bCs/>
          <w:szCs w:val="24"/>
        </w:rPr>
        <w:t>（三）討論事項（三）：</w:t>
      </w:r>
    </w:p>
    <w:p w:rsidR="009D51B2" w:rsidRPr="004B730F" w:rsidRDefault="009D51B2" w:rsidP="00B929EE">
      <w:pPr>
        <w:autoSpaceDE w:val="0"/>
        <w:autoSpaceDN w:val="0"/>
        <w:adjustRightInd w:val="0"/>
        <w:spacing w:line="420" w:lineRule="exact"/>
        <w:ind w:firstLineChars="210" w:firstLine="504"/>
        <w:jc w:val="both"/>
        <w:rPr>
          <w:rFonts w:ascii="標楷體" w:eastAsia="標楷體" w:hAnsi="標楷體" w:cs="新細明體"/>
          <w:b/>
          <w:bCs/>
          <w:color w:val="000000"/>
          <w:kern w:val="0"/>
          <w:szCs w:val="24"/>
        </w:rPr>
      </w:pPr>
      <w:r w:rsidRPr="004B730F">
        <w:rPr>
          <w:rFonts w:ascii="標楷體" w:eastAsia="標楷體" w:hAnsi="標楷體" w:cs="新細明體" w:hint="eastAsia"/>
          <w:b/>
          <w:bCs/>
          <w:color w:val="000000"/>
          <w:kern w:val="0"/>
          <w:szCs w:val="24"/>
        </w:rPr>
        <w:t>甲說（肯定說）：</w:t>
      </w:r>
    </w:p>
    <w:p w:rsidR="009D51B2" w:rsidRPr="004B730F" w:rsidRDefault="009D51B2" w:rsidP="00B929EE">
      <w:pPr>
        <w:autoSpaceDE w:val="0"/>
        <w:autoSpaceDN w:val="0"/>
        <w:adjustRightInd w:val="0"/>
        <w:spacing w:line="420" w:lineRule="exact"/>
        <w:ind w:leftChars="232" w:left="557" w:firstLineChars="210" w:firstLine="504"/>
        <w:jc w:val="both"/>
        <w:rPr>
          <w:rFonts w:ascii="標楷體" w:eastAsia="標楷體"/>
          <w:szCs w:val="24"/>
        </w:rPr>
      </w:pPr>
      <w:r w:rsidRPr="004B730F">
        <w:rPr>
          <w:rFonts w:ascii="標楷體" w:eastAsia="標楷體" w:hint="eastAsia"/>
          <w:szCs w:val="24"/>
        </w:rPr>
        <w:t>本法第</w:t>
      </w:r>
      <w:r w:rsidRPr="004B730F">
        <w:rPr>
          <w:rFonts w:ascii="標楷體" w:eastAsia="標楷體"/>
          <w:szCs w:val="24"/>
        </w:rPr>
        <w:t>21</w:t>
      </w:r>
      <w:r w:rsidRPr="004B730F">
        <w:rPr>
          <w:rFonts w:ascii="標楷體" w:eastAsia="標楷體" w:hint="eastAsia"/>
          <w:szCs w:val="24"/>
        </w:rPr>
        <w:t>條</w:t>
      </w:r>
      <w:r w:rsidRPr="004B730F">
        <w:rPr>
          <w:rFonts w:ascii="標楷體" w:eastAsia="標楷體" w:hAnsi="標楷體" w:hint="eastAsia"/>
          <w:szCs w:val="24"/>
        </w:rPr>
        <w:t>規定沒入之物，須屬於違反行政法上義務而受處罰者所有，又該條</w:t>
      </w:r>
      <w:r w:rsidRPr="004B730F">
        <w:rPr>
          <w:rFonts w:ascii="標楷體" w:eastAsia="標楷體" w:hint="eastAsia"/>
          <w:szCs w:val="24"/>
        </w:rPr>
        <w:t>所稱「其他法律另有規定」，依立法說明，係</w:t>
      </w:r>
      <w:r w:rsidRPr="004B730F">
        <w:rPr>
          <w:rFonts w:ascii="標楷體" w:eastAsia="標楷體" w:hAnsi="標楷體" w:hint="eastAsia"/>
          <w:szCs w:val="24"/>
        </w:rPr>
        <w:t>指個別行政法若基於達成行政目的之考量，得特別規定就非屬於受處罰者所有之物裁處沒入（</w:t>
      </w:r>
      <w:r w:rsidRPr="004B730F">
        <w:rPr>
          <w:rFonts w:ascii="標楷體" w:eastAsia="標楷體" w:hint="eastAsia"/>
          <w:szCs w:val="24"/>
        </w:rPr>
        <w:t>本法第</w:t>
      </w:r>
      <w:r w:rsidRPr="004B730F">
        <w:rPr>
          <w:rFonts w:ascii="標楷體" w:eastAsia="標楷體"/>
          <w:szCs w:val="24"/>
        </w:rPr>
        <w:t>21</w:t>
      </w:r>
      <w:r w:rsidRPr="004B730F">
        <w:rPr>
          <w:rFonts w:ascii="標楷體" w:eastAsia="標楷體" w:hint="eastAsia"/>
          <w:szCs w:val="24"/>
        </w:rPr>
        <w:t>條立法說明一參照</w:t>
      </w:r>
      <w:r w:rsidRPr="004B730F">
        <w:rPr>
          <w:rFonts w:ascii="標楷體" w:eastAsia="標楷體" w:hAnsi="標楷體" w:hint="eastAsia"/>
          <w:szCs w:val="24"/>
        </w:rPr>
        <w:t>），如定有</w:t>
      </w:r>
      <w:r w:rsidRPr="004B730F">
        <w:rPr>
          <w:rFonts w:ascii="標楷體" w:eastAsia="標楷體" w:hint="eastAsia"/>
          <w:szCs w:val="24"/>
        </w:rPr>
        <w:t>「…不問何人所有，沒入之。」等規定。惟</w:t>
      </w:r>
      <w:r w:rsidRPr="004B730F">
        <w:rPr>
          <w:rFonts w:ascii="標楷體" w:eastAsia="標楷體" w:hAnsi="標楷體" w:cs="新細明體" w:hint="eastAsia"/>
          <w:color w:val="000000"/>
          <w:kern w:val="0"/>
          <w:szCs w:val="24"/>
        </w:rPr>
        <w:t>以沒入作為制裁違反行政法上義務行為之法律效果，應以</w:t>
      </w:r>
      <w:r w:rsidRPr="004B730F">
        <w:rPr>
          <w:rFonts w:ascii="標楷體" w:eastAsia="標楷體" w:hint="eastAsia"/>
          <w:szCs w:val="24"/>
        </w:rPr>
        <w:t>該行為該當於違反行政法上義務之構成要件，且欠缺阻卻違法事由並具有責性為前提</w:t>
      </w:r>
      <w:r w:rsidRPr="004B730F">
        <w:rPr>
          <w:rFonts w:ascii="標楷體" w:eastAsia="標楷體" w:hAnsi="標楷體" w:hint="eastAsia"/>
          <w:szCs w:val="24"/>
        </w:rPr>
        <w:t>，因此，個別行政法雖定有</w:t>
      </w:r>
      <w:r w:rsidRPr="004B730F">
        <w:rPr>
          <w:rFonts w:ascii="標楷體" w:eastAsia="標楷體" w:hint="eastAsia"/>
          <w:szCs w:val="24"/>
        </w:rPr>
        <w:t>「…不問何人所有，沒入之。」之規定，以排除本法第</w:t>
      </w:r>
      <w:r w:rsidRPr="004B730F">
        <w:rPr>
          <w:rFonts w:ascii="標楷體" w:eastAsia="標楷體"/>
          <w:szCs w:val="24"/>
        </w:rPr>
        <w:t>21</w:t>
      </w:r>
      <w:r w:rsidRPr="004B730F">
        <w:rPr>
          <w:rFonts w:ascii="標楷體" w:eastAsia="標楷體" w:hint="eastAsia"/>
          <w:szCs w:val="24"/>
        </w:rPr>
        <w:t>條之適用，惟仍應以行為人及沒入物之所有人具有責任能力或責任要件時，始得予以沒入。</w:t>
      </w:r>
    </w:p>
    <w:p w:rsidR="009D51B2" w:rsidRPr="004B730F" w:rsidRDefault="009D51B2" w:rsidP="00B929EE">
      <w:pPr>
        <w:autoSpaceDE w:val="0"/>
        <w:autoSpaceDN w:val="0"/>
        <w:adjustRightInd w:val="0"/>
        <w:spacing w:line="420" w:lineRule="exact"/>
        <w:ind w:leftChars="245" w:left="1162" w:hangingChars="239" w:hanging="574"/>
        <w:jc w:val="both"/>
        <w:rPr>
          <w:rFonts w:ascii="標楷體" w:eastAsia="標楷體" w:hAnsi="標楷體" w:cs="新細明體"/>
          <w:b/>
          <w:bCs/>
          <w:color w:val="000000"/>
          <w:kern w:val="0"/>
          <w:szCs w:val="24"/>
        </w:rPr>
      </w:pPr>
      <w:r w:rsidRPr="004B730F">
        <w:rPr>
          <w:rFonts w:ascii="標楷體" w:eastAsia="標楷體" w:hAnsi="標楷體" w:cs="新細明體" w:hint="eastAsia"/>
          <w:b/>
          <w:bCs/>
          <w:color w:val="000000"/>
          <w:kern w:val="0"/>
          <w:szCs w:val="24"/>
        </w:rPr>
        <w:t>乙說（否定說）：</w:t>
      </w:r>
    </w:p>
    <w:p w:rsidR="009D51B2" w:rsidRPr="004B730F" w:rsidRDefault="009D51B2" w:rsidP="00B929EE">
      <w:pPr>
        <w:autoSpaceDE w:val="0"/>
        <w:autoSpaceDN w:val="0"/>
        <w:adjustRightInd w:val="0"/>
        <w:spacing w:line="420" w:lineRule="exact"/>
        <w:ind w:leftChars="232" w:left="557" w:firstLineChars="210" w:firstLine="504"/>
        <w:jc w:val="both"/>
        <w:rPr>
          <w:rFonts w:ascii="標楷體" w:eastAsia="標楷體"/>
          <w:szCs w:val="24"/>
        </w:rPr>
      </w:pPr>
      <w:r w:rsidRPr="004B730F">
        <w:rPr>
          <w:rFonts w:ascii="標楷體" w:eastAsia="標楷體" w:hint="eastAsia"/>
          <w:szCs w:val="24"/>
        </w:rPr>
        <w:t>本法第</w:t>
      </w:r>
      <w:r w:rsidRPr="004B730F">
        <w:rPr>
          <w:rFonts w:ascii="標楷體" w:eastAsia="標楷體"/>
          <w:szCs w:val="24"/>
        </w:rPr>
        <w:t>21</w:t>
      </w:r>
      <w:r w:rsidRPr="004B730F">
        <w:rPr>
          <w:rFonts w:ascii="標楷體" w:eastAsia="標楷體" w:hint="eastAsia"/>
          <w:szCs w:val="24"/>
        </w:rPr>
        <w:t>條</w:t>
      </w:r>
      <w:r w:rsidRPr="004B730F">
        <w:rPr>
          <w:rFonts w:ascii="標楷體" w:eastAsia="標楷體" w:hAnsi="標楷體" w:hint="eastAsia"/>
          <w:szCs w:val="24"/>
        </w:rPr>
        <w:t>規定沒入之物，須屬於違反行政法上義務而受處罰者所有，又該條</w:t>
      </w:r>
      <w:r w:rsidRPr="004B730F">
        <w:rPr>
          <w:rFonts w:ascii="標楷體" w:eastAsia="標楷體" w:hint="eastAsia"/>
          <w:szCs w:val="24"/>
        </w:rPr>
        <w:t>所稱「其他法律另有規定」，依立法說明，係</w:t>
      </w:r>
      <w:r w:rsidRPr="004B730F">
        <w:rPr>
          <w:rFonts w:ascii="標楷體" w:eastAsia="標楷體" w:hAnsi="標楷體" w:hint="eastAsia"/>
          <w:szCs w:val="24"/>
        </w:rPr>
        <w:t>指個別行政法若基於達成行政目的之考量，得特別規定就非屬於受處罰者所有之物裁處沒入（</w:t>
      </w:r>
      <w:r w:rsidRPr="004B730F">
        <w:rPr>
          <w:rFonts w:ascii="標楷體" w:eastAsia="標楷體" w:hint="eastAsia"/>
          <w:szCs w:val="24"/>
        </w:rPr>
        <w:t>本法第</w:t>
      </w:r>
      <w:r w:rsidRPr="004B730F">
        <w:rPr>
          <w:rFonts w:ascii="標楷體" w:eastAsia="標楷體"/>
          <w:szCs w:val="24"/>
        </w:rPr>
        <w:t>21</w:t>
      </w:r>
      <w:r w:rsidRPr="004B730F">
        <w:rPr>
          <w:rFonts w:ascii="標楷體" w:eastAsia="標楷體" w:hint="eastAsia"/>
          <w:szCs w:val="24"/>
        </w:rPr>
        <w:t>條立法說明一參照</w:t>
      </w:r>
      <w:r w:rsidRPr="004B730F">
        <w:rPr>
          <w:rFonts w:ascii="標楷體" w:eastAsia="標楷體" w:hAnsi="標楷體" w:hint="eastAsia"/>
          <w:szCs w:val="24"/>
        </w:rPr>
        <w:t>），如定有</w:t>
      </w:r>
      <w:r w:rsidRPr="004B730F">
        <w:rPr>
          <w:rFonts w:ascii="標楷體" w:eastAsia="標楷體" w:hint="eastAsia"/>
          <w:szCs w:val="24"/>
        </w:rPr>
        <w:t>「…不問何人所有，沒入之。」等規定。此類特</w:t>
      </w:r>
      <w:r w:rsidRPr="004B730F">
        <w:rPr>
          <w:rFonts w:ascii="標楷體" w:eastAsia="標楷體" w:hAnsi="標楷體" w:hint="eastAsia"/>
          <w:szCs w:val="24"/>
        </w:rPr>
        <w:t>別規定</w:t>
      </w:r>
      <w:r w:rsidRPr="004B730F">
        <w:rPr>
          <w:rFonts w:ascii="標楷體" w:eastAsia="標楷體" w:hint="eastAsia"/>
          <w:szCs w:val="24"/>
        </w:rPr>
        <w:t>，除排除本法第</w:t>
      </w:r>
      <w:r w:rsidRPr="004B730F">
        <w:rPr>
          <w:rFonts w:ascii="標楷體" w:eastAsia="標楷體"/>
          <w:szCs w:val="24"/>
        </w:rPr>
        <w:t>21</w:t>
      </w:r>
      <w:r w:rsidRPr="004B730F">
        <w:rPr>
          <w:rFonts w:ascii="標楷體" w:eastAsia="標楷體" w:hint="eastAsia"/>
          <w:szCs w:val="24"/>
        </w:rPr>
        <w:t>條之適用外，似屬對物為之處分，故不以故意過失為要件。況既已不問沒入物為何人所有，自無須再確認物之行為人或所有人之故意過失及責任能力，故此類沒入規定，無須再論責任能力及責任要件，行政機關即得予以沒入。</w:t>
      </w:r>
    </w:p>
    <w:p w:rsidR="009D51B2" w:rsidRDefault="009D51B2" w:rsidP="00B929EE">
      <w:pPr>
        <w:pStyle w:val="a0"/>
        <w:kinsoku w:val="0"/>
        <w:overflowPunct w:val="0"/>
        <w:spacing w:beforeLines="0" w:afterLines="0" w:line="420" w:lineRule="exact"/>
        <w:ind w:left="480" w:hangingChars="200" w:hanging="480"/>
        <w:rPr>
          <w:sz w:val="24"/>
          <w:szCs w:val="24"/>
        </w:rPr>
      </w:pPr>
      <w:r w:rsidRPr="004B730F">
        <w:rPr>
          <w:rFonts w:hint="eastAsia"/>
          <w:sz w:val="24"/>
          <w:szCs w:val="24"/>
        </w:rPr>
        <w:t>柒、會議結論：</w:t>
      </w:r>
    </w:p>
    <w:p w:rsidR="009D51B2" w:rsidRPr="004B730F" w:rsidRDefault="009D51B2" w:rsidP="00B929EE">
      <w:pPr>
        <w:pStyle w:val="a0"/>
        <w:kinsoku w:val="0"/>
        <w:overflowPunct w:val="0"/>
        <w:spacing w:beforeLines="0" w:afterLines="0" w:line="420" w:lineRule="exact"/>
        <w:ind w:firstLineChars="177" w:firstLine="425"/>
        <w:rPr>
          <w:sz w:val="24"/>
          <w:szCs w:val="24"/>
        </w:rPr>
      </w:pPr>
      <w:r w:rsidRPr="004B730F">
        <w:rPr>
          <w:rFonts w:hint="eastAsia"/>
          <w:b w:val="0"/>
          <w:sz w:val="24"/>
          <w:szCs w:val="24"/>
        </w:rPr>
        <w:t>本次會議討論事項（一）</w:t>
      </w:r>
      <w:r w:rsidRPr="004B730F">
        <w:rPr>
          <w:rFonts w:ascii="標楷體" w:hAnsi="標楷體" w:hint="eastAsia"/>
          <w:b w:val="0"/>
          <w:sz w:val="24"/>
          <w:szCs w:val="24"/>
        </w:rPr>
        <w:t>多數採乙說，較有共識。至於討論事項（二）、（三）因委員間有不同</w:t>
      </w:r>
      <w:r>
        <w:rPr>
          <w:rFonts w:ascii="標楷體" w:hAnsi="標楷體" w:hint="eastAsia"/>
          <w:b w:val="0"/>
          <w:sz w:val="24"/>
          <w:szCs w:val="24"/>
        </w:rPr>
        <w:t>之意見，請承辦單位將各位委員意見完整紀錄，留供作為相關機關參考</w:t>
      </w:r>
      <w:r w:rsidRPr="004B730F">
        <w:rPr>
          <w:rFonts w:ascii="標楷體" w:hAnsi="標楷體" w:hint="eastAsia"/>
          <w:b w:val="0"/>
          <w:sz w:val="24"/>
          <w:szCs w:val="24"/>
        </w:rPr>
        <w:t>。</w:t>
      </w:r>
    </w:p>
    <w:p w:rsidR="009D51B2" w:rsidRPr="004B730F" w:rsidRDefault="009D51B2" w:rsidP="00B929EE">
      <w:pPr>
        <w:pStyle w:val="a0"/>
        <w:kinsoku w:val="0"/>
        <w:overflowPunct w:val="0"/>
        <w:spacing w:beforeLines="0" w:afterLines="0" w:line="420" w:lineRule="exact"/>
        <w:rPr>
          <w:sz w:val="24"/>
          <w:szCs w:val="24"/>
        </w:rPr>
      </w:pPr>
      <w:r w:rsidRPr="004B730F">
        <w:rPr>
          <w:rFonts w:hint="eastAsia"/>
          <w:sz w:val="24"/>
          <w:szCs w:val="24"/>
        </w:rPr>
        <w:t>玖、散會（</w:t>
      </w:r>
      <w:r w:rsidRPr="004B730F">
        <w:rPr>
          <w:sz w:val="24"/>
          <w:szCs w:val="24"/>
        </w:rPr>
        <w:t>17</w:t>
      </w:r>
      <w:r w:rsidRPr="004B730F">
        <w:rPr>
          <w:rFonts w:hint="eastAsia"/>
          <w:sz w:val="24"/>
          <w:szCs w:val="24"/>
        </w:rPr>
        <w:t>時</w:t>
      </w:r>
      <w:r w:rsidRPr="004B730F">
        <w:rPr>
          <w:sz w:val="24"/>
          <w:szCs w:val="24"/>
        </w:rPr>
        <w:t>10</w:t>
      </w:r>
      <w:r w:rsidRPr="004B730F">
        <w:rPr>
          <w:rFonts w:hint="eastAsia"/>
          <w:sz w:val="24"/>
          <w:szCs w:val="24"/>
        </w:rPr>
        <w:t>分）。</w:t>
      </w:r>
    </w:p>
    <w:p w:rsidR="009D51B2" w:rsidRPr="004B730F" w:rsidRDefault="009D51B2" w:rsidP="00B929EE">
      <w:pPr>
        <w:pStyle w:val="a"/>
        <w:kinsoku w:val="0"/>
        <w:overflowPunct w:val="0"/>
        <w:spacing w:line="420" w:lineRule="exact"/>
        <w:ind w:leftChars="104" w:firstLineChars="1700" w:firstLine="4080"/>
        <w:rPr>
          <w:sz w:val="24"/>
          <w:szCs w:val="24"/>
        </w:rPr>
      </w:pPr>
      <w:r w:rsidRPr="004B730F">
        <w:rPr>
          <w:rFonts w:hint="eastAsia"/>
          <w:sz w:val="24"/>
          <w:szCs w:val="24"/>
        </w:rPr>
        <w:t>主席：朱</w:t>
      </w:r>
      <w:r w:rsidRPr="004B730F">
        <w:rPr>
          <w:sz w:val="24"/>
          <w:szCs w:val="24"/>
        </w:rPr>
        <w:t xml:space="preserve">  </w:t>
      </w:r>
      <w:r w:rsidRPr="004B730F">
        <w:rPr>
          <w:rFonts w:hint="eastAsia"/>
          <w:sz w:val="24"/>
          <w:szCs w:val="24"/>
        </w:rPr>
        <w:t>楠</w:t>
      </w:r>
    </w:p>
    <w:p w:rsidR="009D51B2" w:rsidRDefault="009D51B2" w:rsidP="00B929EE">
      <w:pPr>
        <w:pStyle w:val="a"/>
        <w:kinsoku w:val="0"/>
        <w:overflowPunct w:val="0"/>
        <w:spacing w:line="420" w:lineRule="exact"/>
        <w:ind w:leftChars="104" w:firstLineChars="1700" w:firstLine="4080"/>
        <w:rPr>
          <w:sz w:val="24"/>
          <w:szCs w:val="24"/>
        </w:rPr>
      </w:pPr>
      <w:r w:rsidRPr="004B730F">
        <w:rPr>
          <w:rFonts w:hint="eastAsia"/>
          <w:sz w:val="24"/>
          <w:szCs w:val="24"/>
        </w:rPr>
        <w:t>紀錄：陳忠光</w:t>
      </w:r>
    </w:p>
    <w:p w:rsidR="009D51B2" w:rsidRDefault="009D51B2" w:rsidP="00B929EE">
      <w:pPr>
        <w:pStyle w:val="a"/>
        <w:kinsoku w:val="0"/>
        <w:overflowPunct w:val="0"/>
        <w:spacing w:line="420" w:lineRule="exact"/>
        <w:ind w:leftChars="104" w:firstLineChars="1700" w:firstLine="4080"/>
        <w:rPr>
          <w:sz w:val="24"/>
          <w:szCs w:val="24"/>
        </w:rPr>
      </w:pPr>
    </w:p>
    <w:sectPr w:rsidR="009D51B2" w:rsidSect="005C349A">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1B2" w:rsidRDefault="009D51B2" w:rsidP="00645CB0">
      <w:r>
        <w:separator/>
      </w:r>
    </w:p>
  </w:endnote>
  <w:endnote w:type="continuationSeparator" w:id="0">
    <w:p w:rsidR="009D51B2" w:rsidRDefault="009D51B2" w:rsidP="00645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B2" w:rsidRDefault="009D51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B2" w:rsidRDefault="009D51B2">
    <w:pPr>
      <w:pStyle w:val="Footer"/>
      <w:jc w:val="center"/>
    </w:pPr>
    <w:fldSimple w:instr=" PAGE   \* MERGEFORMAT ">
      <w:r w:rsidRPr="00AF304C">
        <w:rPr>
          <w:noProof/>
          <w:lang w:val="zh-TW"/>
        </w:rPr>
        <w:t>4</w:t>
      </w:r>
    </w:fldSimple>
  </w:p>
  <w:p w:rsidR="009D51B2" w:rsidRDefault="009D51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B2" w:rsidRDefault="009D51B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B2" w:rsidRDefault="009D51B2">
    <w:pPr>
      <w:pStyle w:val="Footer"/>
      <w:jc w:val="center"/>
    </w:pPr>
    <w:fldSimple w:instr=" PAGE   \* MERGEFORMAT ">
      <w:r w:rsidRPr="00AF304C">
        <w:rPr>
          <w:noProof/>
          <w:lang w:val="zh-TW"/>
        </w:rPr>
        <w:t>2</w:t>
      </w:r>
    </w:fldSimple>
  </w:p>
  <w:p w:rsidR="009D51B2" w:rsidRDefault="009D51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1B2" w:rsidRDefault="009D51B2" w:rsidP="00645CB0">
      <w:r>
        <w:separator/>
      </w:r>
    </w:p>
  </w:footnote>
  <w:footnote w:type="continuationSeparator" w:id="0">
    <w:p w:rsidR="009D51B2" w:rsidRDefault="009D51B2" w:rsidP="00645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B2" w:rsidRDefault="009D51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B2" w:rsidRPr="00980750" w:rsidRDefault="009D51B2" w:rsidP="00302470">
    <w:pPr>
      <w:pStyle w:val="Header"/>
      <w:jc w:val="right"/>
      <w:rPr>
        <w:rFonts w:ascii="標楷體" w:eastAsia="標楷體" w:hAnsi="標楷體"/>
      </w:rPr>
    </w:pPr>
    <w:r>
      <w:rPr>
        <w:rFonts w:ascii="標楷體" w:eastAsia="標楷體" w:hAnsi="標楷體" w:hint="eastAsia"/>
      </w:rPr>
      <w:t>法務部行政罰法諮詢小組第</w:t>
    </w:r>
    <w:r>
      <w:rPr>
        <w:rFonts w:ascii="標楷體" w:eastAsia="標楷體" w:hAnsi="標楷體"/>
      </w:rPr>
      <w:t>6</w:t>
    </w:r>
    <w:r>
      <w:rPr>
        <w:rFonts w:ascii="標楷體" w:eastAsia="標楷體" w:hAnsi="標楷體" w:hint="eastAsia"/>
      </w:rPr>
      <w:t>次會議紀錄</w:t>
    </w:r>
  </w:p>
  <w:p w:rsidR="009D51B2" w:rsidRPr="00302470" w:rsidRDefault="009D51B2" w:rsidP="003024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B2" w:rsidRDefault="009D51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65B59"/>
    <w:multiLevelType w:val="hybridMultilevel"/>
    <w:tmpl w:val="62B41162"/>
    <w:lvl w:ilvl="0" w:tplc="A08801F4">
      <w:start w:val="2"/>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62F23B86"/>
    <w:multiLevelType w:val="hybridMultilevel"/>
    <w:tmpl w:val="BB1A5080"/>
    <w:lvl w:ilvl="0" w:tplc="EA4CFB84">
      <w:start w:val="1"/>
      <w:numFmt w:val="taiwaneseCountingThousand"/>
      <w:lvlText w:val="%1、"/>
      <w:lvlJc w:val="left"/>
      <w:pPr>
        <w:tabs>
          <w:tab w:val="num" w:pos="435"/>
        </w:tabs>
        <w:ind w:left="435" w:hanging="432"/>
      </w:pPr>
      <w:rPr>
        <w:rFonts w:ascii="標楷體" w:eastAsia="標楷體" w:cs="標楷體" w:hint="default"/>
        <w:sz w:val="21"/>
      </w:rPr>
    </w:lvl>
    <w:lvl w:ilvl="1" w:tplc="04090019" w:tentative="1">
      <w:start w:val="1"/>
      <w:numFmt w:val="ideographTraditional"/>
      <w:lvlText w:val="%2、"/>
      <w:lvlJc w:val="left"/>
      <w:pPr>
        <w:tabs>
          <w:tab w:val="num" w:pos="963"/>
        </w:tabs>
        <w:ind w:left="963" w:hanging="480"/>
      </w:pPr>
      <w:rPr>
        <w:rFonts w:cs="Times New Roman"/>
      </w:rPr>
    </w:lvl>
    <w:lvl w:ilvl="2" w:tplc="0409001B" w:tentative="1">
      <w:start w:val="1"/>
      <w:numFmt w:val="lowerRoman"/>
      <w:lvlText w:val="%3."/>
      <w:lvlJc w:val="right"/>
      <w:pPr>
        <w:tabs>
          <w:tab w:val="num" w:pos="1443"/>
        </w:tabs>
        <w:ind w:left="1443" w:hanging="480"/>
      </w:pPr>
      <w:rPr>
        <w:rFonts w:cs="Times New Roman"/>
      </w:rPr>
    </w:lvl>
    <w:lvl w:ilvl="3" w:tplc="0409000F" w:tentative="1">
      <w:start w:val="1"/>
      <w:numFmt w:val="decimal"/>
      <w:lvlText w:val="%4."/>
      <w:lvlJc w:val="left"/>
      <w:pPr>
        <w:tabs>
          <w:tab w:val="num" w:pos="1923"/>
        </w:tabs>
        <w:ind w:left="1923" w:hanging="480"/>
      </w:pPr>
      <w:rPr>
        <w:rFonts w:cs="Times New Roman"/>
      </w:rPr>
    </w:lvl>
    <w:lvl w:ilvl="4" w:tplc="04090019" w:tentative="1">
      <w:start w:val="1"/>
      <w:numFmt w:val="ideographTraditional"/>
      <w:lvlText w:val="%5、"/>
      <w:lvlJc w:val="left"/>
      <w:pPr>
        <w:tabs>
          <w:tab w:val="num" w:pos="2403"/>
        </w:tabs>
        <w:ind w:left="2403" w:hanging="480"/>
      </w:pPr>
      <w:rPr>
        <w:rFonts w:cs="Times New Roman"/>
      </w:rPr>
    </w:lvl>
    <w:lvl w:ilvl="5" w:tplc="0409001B" w:tentative="1">
      <w:start w:val="1"/>
      <w:numFmt w:val="lowerRoman"/>
      <w:lvlText w:val="%6."/>
      <w:lvlJc w:val="right"/>
      <w:pPr>
        <w:tabs>
          <w:tab w:val="num" w:pos="2883"/>
        </w:tabs>
        <w:ind w:left="2883" w:hanging="480"/>
      </w:pPr>
      <w:rPr>
        <w:rFonts w:cs="Times New Roman"/>
      </w:rPr>
    </w:lvl>
    <w:lvl w:ilvl="6" w:tplc="0409000F" w:tentative="1">
      <w:start w:val="1"/>
      <w:numFmt w:val="decimal"/>
      <w:lvlText w:val="%7."/>
      <w:lvlJc w:val="left"/>
      <w:pPr>
        <w:tabs>
          <w:tab w:val="num" w:pos="3363"/>
        </w:tabs>
        <w:ind w:left="3363" w:hanging="480"/>
      </w:pPr>
      <w:rPr>
        <w:rFonts w:cs="Times New Roman"/>
      </w:rPr>
    </w:lvl>
    <w:lvl w:ilvl="7" w:tplc="04090019" w:tentative="1">
      <w:start w:val="1"/>
      <w:numFmt w:val="ideographTraditional"/>
      <w:lvlText w:val="%8、"/>
      <w:lvlJc w:val="left"/>
      <w:pPr>
        <w:tabs>
          <w:tab w:val="num" w:pos="3843"/>
        </w:tabs>
        <w:ind w:left="3843" w:hanging="480"/>
      </w:pPr>
      <w:rPr>
        <w:rFonts w:cs="Times New Roman"/>
      </w:rPr>
    </w:lvl>
    <w:lvl w:ilvl="8" w:tplc="0409001B" w:tentative="1">
      <w:start w:val="1"/>
      <w:numFmt w:val="lowerRoman"/>
      <w:lvlText w:val="%9."/>
      <w:lvlJc w:val="right"/>
      <w:pPr>
        <w:tabs>
          <w:tab w:val="num" w:pos="4323"/>
        </w:tabs>
        <w:ind w:left="4323"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C99"/>
    <w:rsid w:val="000369F4"/>
    <w:rsid w:val="000919C6"/>
    <w:rsid w:val="00106054"/>
    <w:rsid w:val="00107A18"/>
    <w:rsid w:val="001621FF"/>
    <w:rsid w:val="00183AA4"/>
    <w:rsid w:val="002133C4"/>
    <w:rsid w:val="002A1F8B"/>
    <w:rsid w:val="00302470"/>
    <w:rsid w:val="00356C99"/>
    <w:rsid w:val="004062B0"/>
    <w:rsid w:val="00485D63"/>
    <w:rsid w:val="004B730F"/>
    <w:rsid w:val="004E7D24"/>
    <w:rsid w:val="004F1335"/>
    <w:rsid w:val="004F146A"/>
    <w:rsid w:val="004F3DCE"/>
    <w:rsid w:val="0053390B"/>
    <w:rsid w:val="005433EC"/>
    <w:rsid w:val="00550C0A"/>
    <w:rsid w:val="005C349A"/>
    <w:rsid w:val="005D7AEB"/>
    <w:rsid w:val="00645CB0"/>
    <w:rsid w:val="006559A4"/>
    <w:rsid w:val="0066459B"/>
    <w:rsid w:val="006B2656"/>
    <w:rsid w:val="006D6C2A"/>
    <w:rsid w:val="006F1CAF"/>
    <w:rsid w:val="007D6A9E"/>
    <w:rsid w:val="007F735B"/>
    <w:rsid w:val="007F7CF2"/>
    <w:rsid w:val="00810545"/>
    <w:rsid w:val="00846E3D"/>
    <w:rsid w:val="00863C4C"/>
    <w:rsid w:val="00867B3F"/>
    <w:rsid w:val="008755AC"/>
    <w:rsid w:val="00885184"/>
    <w:rsid w:val="009440AE"/>
    <w:rsid w:val="00980750"/>
    <w:rsid w:val="009D51B2"/>
    <w:rsid w:val="00A266E5"/>
    <w:rsid w:val="00AF304C"/>
    <w:rsid w:val="00B929EE"/>
    <w:rsid w:val="00BC06EA"/>
    <w:rsid w:val="00BD233E"/>
    <w:rsid w:val="00BF022D"/>
    <w:rsid w:val="00C1242C"/>
    <w:rsid w:val="00C85B00"/>
    <w:rsid w:val="00D1347E"/>
    <w:rsid w:val="00D27E64"/>
    <w:rsid w:val="00DC239C"/>
    <w:rsid w:val="00E60A39"/>
    <w:rsid w:val="00E61084"/>
    <w:rsid w:val="00E9155C"/>
    <w:rsid w:val="00F30B03"/>
    <w:rsid w:val="00FB65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B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文"/>
    <w:uiPriority w:val="99"/>
    <w:rsid w:val="00645CB0"/>
    <w:pPr>
      <w:adjustRightInd w:val="0"/>
      <w:snapToGrid w:val="0"/>
      <w:spacing w:line="440" w:lineRule="exact"/>
      <w:ind w:leftChars="250" w:left="250"/>
      <w:jc w:val="both"/>
    </w:pPr>
    <w:rPr>
      <w:rFonts w:ascii="Times New Roman" w:eastAsia="標楷體" w:hAnsi="Times New Roman"/>
      <w:kern w:val="0"/>
      <w:sz w:val="28"/>
      <w:szCs w:val="20"/>
    </w:rPr>
  </w:style>
  <w:style w:type="paragraph" w:customStyle="1" w:styleId="a0">
    <w:name w:val="壹"/>
    <w:uiPriority w:val="99"/>
    <w:rsid w:val="00645CB0"/>
    <w:pPr>
      <w:adjustRightInd w:val="0"/>
      <w:snapToGrid w:val="0"/>
      <w:spacing w:beforeLines="75" w:afterLines="25" w:line="440" w:lineRule="exact"/>
      <w:jc w:val="both"/>
    </w:pPr>
    <w:rPr>
      <w:rFonts w:ascii="Times New Roman" w:eastAsia="標楷體" w:hAnsi="Times New Roman"/>
      <w:b/>
      <w:kern w:val="0"/>
      <w:sz w:val="30"/>
      <w:szCs w:val="20"/>
    </w:rPr>
  </w:style>
  <w:style w:type="paragraph" w:customStyle="1" w:styleId="a1">
    <w:name w:val="一、"/>
    <w:basedOn w:val="a"/>
    <w:uiPriority w:val="99"/>
    <w:rsid w:val="00645CB0"/>
    <w:pPr>
      <w:ind w:leftChars="370" w:left="570" w:hangingChars="200" w:hanging="200"/>
    </w:pPr>
  </w:style>
  <w:style w:type="paragraph" w:styleId="FootnoteText">
    <w:name w:val="footnote text"/>
    <w:basedOn w:val="Normal"/>
    <w:link w:val="FootnoteTextChar"/>
    <w:uiPriority w:val="99"/>
    <w:rsid w:val="00645CB0"/>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45CB0"/>
    <w:rPr>
      <w:rFonts w:ascii="Times New Roman" w:eastAsia="新細明體" w:hAnsi="Times New Roman" w:cs="Times New Roman"/>
      <w:sz w:val="20"/>
      <w:szCs w:val="20"/>
    </w:rPr>
  </w:style>
  <w:style w:type="character" w:styleId="FootnoteReference">
    <w:name w:val="footnote reference"/>
    <w:basedOn w:val="DefaultParagraphFont"/>
    <w:uiPriority w:val="99"/>
    <w:semiHidden/>
    <w:rsid w:val="00645CB0"/>
    <w:rPr>
      <w:rFonts w:cs="Times New Roman"/>
      <w:vertAlign w:val="superscript"/>
    </w:rPr>
  </w:style>
  <w:style w:type="paragraph" w:styleId="Header">
    <w:name w:val="header"/>
    <w:basedOn w:val="Normal"/>
    <w:link w:val="HeaderChar"/>
    <w:uiPriority w:val="99"/>
    <w:rsid w:val="007D6A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D6A9E"/>
    <w:rPr>
      <w:rFonts w:ascii="Calibri" w:eastAsia="新細明體" w:hAnsi="Calibri" w:cs="Times New Roman"/>
      <w:sz w:val="20"/>
      <w:szCs w:val="20"/>
    </w:rPr>
  </w:style>
  <w:style w:type="paragraph" w:styleId="Footer">
    <w:name w:val="footer"/>
    <w:basedOn w:val="Normal"/>
    <w:link w:val="FooterChar"/>
    <w:uiPriority w:val="99"/>
    <w:rsid w:val="007D6A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D6A9E"/>
    <w:rPr>
      <w:rFonts w:ascii="Calibri" w:eastAsia="新細明體" w:hAnsi="Calibri" w:cs="Times New Roman"/>
      <w:sz w:val="20"/>
      <w:szCs w:val="20"/>
    </w:rPr>
  </w:style>
  <w:style w:type="paragraph" w:styleId="ListParagraph">
    <w:name w:val="List Paragraph"/>
    <w:basedOn w:val="Normal"/>
    <w:uiPriority w:val="99"/>
    <w:qFormat/>
    <w:rsid w:val="00B929EE"/>
    <w:pPr>
      <w:ind w:leftChars="200" w:left="480"/>
    </w:pPr>
  </w:style>
  <w:style w:type="paragraph" w:customStyle="1" w:styleId="a2">
    <w:name w:val="條文"/>
    <w:uiPriority w:val="99"/>
    <w:rsid w:val="00B929EE"/>
    <w:pPr>
      <w:spacing w:line="500" w:lineRule="exact"/>
      <w:ind w:left="245" w:hangingChars="100" w:hanging="245"/>
      <w:jc w:val="both"/>
    </w:pPr>
    <w:rPr>
      <w:rFonts w:ascii="標楷體" w:eastAsia="標楷體" w:hAnsi="Courier New" w:cs="Courier New"/>
      <w:szCs w:val="24"/>
    </w:rPr>
  </w:style>
  <w:style w:type="paragraph" w:styleId="PlainText">
    <w:name w:val="Plain Text"/>
    <w:basedOn w:val="Normal"/>
    <w:link w:val="PlainTextChar"/>
    <w:uiPriority w:val="99"/>
    <w:semiHidden/>
    <w:rsid w:val="00B929EE"/>
    <w:rPr>
      <w:rFonts w:ascii="細明體" w:eastAsia="細明體" w:hAnsi="Courier New" w:cs="Courier New"/>
      <w:szCs w:val="24"/>
    </w:rPr>
  </w:style>
  <w:style w:type="character" w:customStyle="1" w:styleId="PlainTextChar">
    <w:name w:val="Plain Text Char"/>
    <w:basedOn w:val="DefaultParagraphFont"/>
    <w:link w:val="PlainText"/>
    <w:uiPriority w:val="99"/>
    <w:semiHidden/>
    <w:locked/>
    <w:rsid w:val="00B929EE"/>
    <w:rPr>
      <w:rFonts w:ascii="細明體" w:eastAsia="細明體"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375</Words>
  <Characters>2142</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dc:creator>
  <cp:keywords/>
  <dc:description/>
  <cp:lastModifiedBy>ycchang</cp:lastModifiedBy>
  <cp:revision>6</cp:revision>
  <dcterms:created xsi:type="dcterms:W3CDTF">2015-05-05T01:16:00Z</dcterms:created>
  <dcterms:modified xsi:type="dcterms:W3CDTF">2015-05-08T08:35:00Z</dcterms:modified>
</cp:coreProperties>
</file>