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0A" w:rsidRPr="00DC0A01" w:rsidRDefault="00FD3F0A" w:rsidP="006559A4">
      <w:pPr>
        <w:jc w:val="center"/>
        <w:rPr>
          <w:rFonts w:ascii="標楷體" w:eastAsia="標楷體" w:hAnsi="標楷體"/>
          <w:b/>
          <w:sz w:val="44"/>
          <w:szCs w:val="44"/>
        </w:rPr>
      </w:pPr>
      <w:r w:rsidRPr="00DC0A01">
        <w:rPr>
          <w:rFonts w:ascii="標楷體" w:eastAsia="標楷體" w:hAnsi="標楷體" w:hint="eastAsia"/>
          <w:b/>
          <w:sz w:val="44"/>
          <w:szCs w:val="44"/>
        </w:rPr>
        <w:t>法務部行政罰法諮詢小組</w:t>
      </w:r>
    </w:p>
    <w:p w:rsidR="00FD3F0A" w:rsidRDefault="00FD3F0A" w:rsidP="006559A4">
      <w:pPr>
        <w:jc w:val="center"/>
        <w:rPr>
          <w:rFonts w:ascii="標楷體" w:eastAsia="標楷體" w:hAnsi="標楷體"/>
          <w:b/>
          <w:sz w:val="44"/>
          <w:szCs w:val="44"/>
        </w:rPr>
      </w:pPr>
      <w:r w:rsidRPr="00DC0A01">
        <w:rPr>
          <w:rFonts w:ascii="標楷體" w:eastAsia="標楷體" w:hAnsi="標楷體" w:hint="eastAsia"/>
          <w:b/>
          <w:sz w:val="44"/>
          <w:szCs w:val="44"/>
        </w:rPr>
        <w:t>第</w:t>
      </w:r>
      <w:r>
        <w:rPr>
          <w:rFonts w:ascii="標楷體" w:eastAsia="標楷體" w:hAnsi="標楷體"/>
          <w:b/>
          <w:sz w:val="44"/>
          <w:szCs w:val="44"/>
        </w:rPr>
        <w:t>4</w:t>
      </w:r>
      <w:r w:rsidRPr="00DC0A01">
        <w:rPr>
          <w:rFonts w:ascii="標楷體" w:eastAsia="標楷體" w:hAnsi="標楷體" w:hint="eastAsia"/>
          <w:b/>
          <w:sz w:val="44"/>
          <w:szCs w:val="44"/>
        </w:rPr>
        <w:t>次會議紀錄</w:t>
      </w:r>
    </w:p>
    <w:p w:rsidR="00FD3F0A" w:rsidRPr="00DC0A01" w:rsidRDefault="00FD3F0A" w:rsidP="006559A4">
      <w:pPr>
        <w:spacing w:line="420" w:lineRule="exact"/>
        <w:jc w:val="center"/>
        <w:rPr>
          <w:rFonts w:ascii="標楷體" w:eastAsia="標楷體" w:hAnsi="標楷體"/>
          <w:b/>
          <w:sz w:val="16"/>
          <w:szCs w:val="16"/>
        </w:rPr>
      </w:pPr>
    </w:p>
    <w:p w:rsidR="00FD3F0A" w:rsidRPr="00D25361" w:rsidRDefault="00FD3F0A" w:rsidP="006559A4">
      <w:pPr>
        <w:spacing w:line="420" w:lineRule="exact"/>
        <w:jc w:val="both"/>
        <w:rPr>
          <w:rFonts w:ascii="標楷體" w:eastAsia="標楷體" w:hAnsi="標楷體"/>
          <w:b/>
          <w:szCs w:val="24"/>
        </w:rPr>
      </w:pPr>
      <w:r w:rsidRPr="00D25361">
        <w:rPr>
          <w:rFonts w:ascii="標楷體" w:eastAsia="標楷體" w:hAnsi="標楷體" w:hint="eastAsia"/>
          <w:b/>
          <w:szCs w:val="24"/>
        </w:rPr>
        <w:t>壹、時間﹕</w:t>
      </w:r>
      <w:r w:rsidRPr="00D25361">
        <w:rPr>
          <w:rFonts w:ascii="標楷體" w:eastAsia="標楷體" w:hAnsi="標楷體"/>
          <w:b/>
          <w:szCs w:val="24"/>
        </w:rPr>
        <w:t xml:space="preserve">95 </w:t>
      </w:r>
      <w:r w:rsidRPr="00D25361">
        <w:rPr>
          <w:rFonts w:ascii="標楷體" w:eastAsia="標楷體" w:hAnsi="標楷體" w:hint="eastAsia"/>
          <w:b/>
          <w:szCs w:val="24"/>
        </w:rPr>
        <w:t>年</w:t>
      </w:r>
      <w:r w:rsidRPr="00D25361">
        <w:rPr>
          <w:rFonts w:ascii="標楷體" w:eastAsia="標楷體" w:hAnsi="標楷體"/>
          <w:b/>
          <w:szCs w:val="24"/>
        </w:rPr>
        <w:t xml:space="preserve">2 </w:t>
      </w:r>
      <w:r w:rsidRPr="00D25361">
        <w:rPr>
          <w:rFonts w:ascii="標楷體" w:eastAsia="標楷體" w:hAnsi="標楷體" w:hint="eastAsia"/>
          <w:b/>
          <w:szCs w:val="24"/>
        </w:rPr>
        <w:t>月</w:t>
      </w:r>
      <w:r w:rsidRPr="00D25361">
        <w:rPr>
          <w:rFonts w:ascii="標楷體" w:eastAsia="標楷體" w:hAnsi="標楷體"/>
          <w:b/>
          <w:szCs w:val="24"/>
        </w:rPr>
        <w:t xml:space="preserve">7 </w:t>
      </w:r>
      <w:r w:rsidRPr="00D25361">
        <w:rPr>
          <w:rFonts w:ascii="標楷體" w:eastAsia="標楷體" w:hAnsi="標楷體" w:hint="eastAsia"/>
          <w:b/>
          <w:szCs w:val="24"/>
        </w:rPr>
        <w:t>日（星期</w:t>
      </w:r>
      <w:r w:rsidRPr="00D25361">
        <w:rPr>
          <w:rFonts w:ascii="標楷體" w:eastAsia="標楷體" w:hAnsi="標楷體"/>
          <w:b/>
          <w:szCs w:val="24"/>
        </w:rPr>
        <w:t>2</w:t>
      </w:r>
      <w:r w:rsidRPr="00D25361">
        <w:rPr>
          <w:rFonts w:ascii="標楷體" w:eastAsia="標楷體" w:hAnsi="標楷體" w:hint="eastAsia"/>
          <w:b/>
          <w:szCs w:val="24"/>
        </w:rPr>
        <w:t>）下午</w:t>
      </w:r>
      <w:r w:rsidRPr="00D25361">
        <w:rPr>
          <w:rFonts w:ascii="標楷體" w:eastAsia="標楷體" w:hAnsi="標楷體"/>
          <w:b/>
          <w:szCs w:val="24"/>
        </w:rPr>
        <w:t xml:space="preserve">2 </w:t>
      </w:r>
      <w:r w:rsidRPr="00D25361">
        <w:rPr>
          <w:rFonts w:ascii="標楷體" w:eastAsia="標楷體" w:hAnsi="標楷體" w:hint="eastAsia"/>
          <w:b/>
          <w:szCs w:val="24"/>
        </w:rPr>
        <w:t>時</w:t>
      </w:r>
      <w:r w:rsidRPr="00D25361">
        <w:rPr>
          <w:rFonts w:ascii="標楷體" w:eastAsia="標楷體" w:hAnsi="標楷體"/>
          <w:b/>
          <w:szCs w:val="24"/>
        </w:rPr>
        <w:t xml:space="preserve">30 </w:t>
      </w:r>
      <w:r w:rsidRPr="00D25361">
        <w:rPr>
          <w:rFonts w:ascii="標楷體" w:eastAsia="標楷體" w:hAnsi="標楷體" w:hint="eastAsia"/>
          <w:b/>
          <w:szCs w:val="24"/>
        </w:rPr>
        <w:t>分</w:t>
      </w:r>
    </w:p>
    <w:p w:rsidR="00FD3F0A" w:rsidRPr="00D25361" w:rsidRDefault="00FD3F0A" w:rsidP="006559A4">
      <w:pPr>
        <w:spacing w:line="420" w:lineRule="exact"/>
        <w:jc w:val="both"/>
        <w:rPr>
          <w:rFonts w:ascii="標楷體" w:eastAsia="標楷體" w:hAnsi="標楷體"/>
          <w:b/>
          <w:szCs w:val="24"/>
        </w:rPr>
      </w:pPr>
      <w:r w:rsidRPr="00D25361">
        <w:rPr>
          <w:rFonts w:ascii="標楷體" w:eastAsia="標楷體" w:hAnsi="標楷體" w:hint="eastAsia"/>
          <w:b/>
          <w:szCs w:val="24"/>
        </w:rPr>
        <w:t>貳、地點：本部</w:t>
      </w:r>
      <w:r w:rsidRPr="00D25361">
        <w:rPr>
          <w:rFonts w:ascii="標楷體" w:eastAsia="標楷體" w:hAnsi="標楷體"/>
          <w:b/>
          <w:bCs/>
          <w:szCs w:val="24"/>
        </w:rPr>
        <w:t xml:space="preserve">2 </w:t>
      </w:r>
      <w:r w:rsidRPr="00D25361">
        <w:rPr>
          <w:rFonts w:ascii="標楷體" w:eastAsia="標楷體" w:hAnsi="標楷體" w:hint="eastAsia"/>
          <w:b/>
          <w:szCs w:val="24"/>
        </w:rPr>
        <w:t>樓簡報室</w:t>
      </w:r>
    </w:p>
    <w:p w:rsidR="00FD3F0A" w:rsidRPr="00D25361" w:rsidRDefault="00FD3F0A" w:rsidP="006559A4">
      <w:pPr>
        <w:spacing w:line="420" w:lineRule="exact"/>
        <w:jc w:val="both"/>
        <w:rPr>
          <w:rFonts w:ascii="標楷體" w:eastAsia="標楷體" w:hAnsi="標楷體"/>
          <w:b/>
          <w:szCs w:val="24"/>
        </w:rPr>
      </w:pPr>
      <w:r w:rsidRPr="00D25361">
        <w:rPr>
          <w:rFonts w:ascii="標楷體" w:eastAsia="標楷體" w:hAnsi="標楷體" w:hint="eastAsia"/>
          <w:b/>
          <w:szCs w:val="24"/>
        </w:rPr>
        <w:t>參、主席：朱委員兼召集人楠</w:t>
      </w:r>
    </w:p>
    <w:p w:rsidR="00FD3F0A" w:rsidRPr="00D25361" w:rsidRDefault="00FD3F0A" w:rsidP="006559A4">
      <w:pPr>
        <w:spacing w:line="420" w:lineRule="exact"/>
        <w:ind w:left="425" w:hangingChars="177" w:hanging="425"/>
        <w:jc w:val="both"/>
        <w:rPr>
          <w:rFonts w:ascii="標楷體" w:eastAsia="標楷體" w:hAnsi="標楷體"/>
          <w:szCs w:val="24"/>
        </w:rPr>
      </w:pPr>
      <w:r w:rsidRPr="00D25361">
        <w:rPr>
          <w:rFonts w:ascii="標楷體" w:eastAsia="標楷體" w:hAnsi="標楷體" w:hint="eastAsia"/>
          <w:b/>
          <w:szCs w:val="24"/>
        </w:rPr>
        <w:t>肆、出席人員：</w:t>
      </w:r>
      <w:r w:rsidRPr="00D25361">
        <w:rPr>
          <w:rFonts w:ascii="標楷體" w:eastAsia="標楷體" w:hAnsi="標楷體" w:hint="eastAsia"/>
          <w:szCs w:val="24"/>
        </w:rPr>
        <w:t>林委員錫堯、林委員朝松、洪委員家殷、胡委員方新、姜委員素娥、陳委員明堂、陳委員清秀、陳委員愛娥、曾委員華松、黃委員綠星、黃委員璽君（以上諮詢委員依委員姓氏筆畫列序）</w:t>
      </w:r>
    </w:p>
    <w:p w:rsidR="00FD3F0A" w:rsidRPr="00D25361" w:rsidRDefault="00FD3F0A" w:rsidP="006559A4">
      <w:pPr>
        <w:spacing w:line="420" w:lineRule="exact"/>
        <w:jc w:val="both"/>
        <w:rPr>
          <w:rFonts w:ascii="標楷體" w:eastAsia="標楷體" w:hAnsi="標楷體"/>
          <w:b/>
          <w:szCs w:val="24"/>
        </w:rPr>
      </w:pPr>
      <w:r w:rsidRPr="00D25361">
        <w:rPr>
          <w:rFonts w:ascii="標楷體" w:eastAsia="標楷體" w:hAnsi="標楷體" w:hint="eastAsia"/>
          <w:b/>
          <w:szCs w:val="24"/>
        </w:rPr>
        <w:t>伍、列席人員：如後附簽到簿</w:t>
      </w:r>
    </w:p>
    <w:p w:rsidR="00FD3F0A" w:rsidRPr="00D25361" w:rsidRDefault="00FD3F0A" w:rsidP="006559A4">
      <w:pPr>
        <w:spacing w:line="420" w:lineRule="exact"/>
        <w:jc w:val="both"/>
        <w:rPr>
          <w:rFonts w:ascii="標楷體" w:eastAsia="標楷體" w:hAnsi="標楷體"/>
          <w:b/>
          <w:szCs w:val="24"/>
        </w:rPr>
      </w:pPr>
      <w:r w:rsidRPr="00D25361">
        <w:rPr>
          <w:rFonts w:ascii="標楷體" w:eastAsia="標楷體" w:hAnsi="標楷體" w:hint="eastAsia"/>
          <w:b/>
          <w:szCs w:val="24"/>
        </w:rPr>
        <w:t>陸、討論事項：</w:t>
      </w:r>
    </w:p>
    <w:p w:rsidR="00FD3F0A" w:rsidRPr="00D25361" w:rsidRDefault="00FD3F0A" w:rsidP="006559A4">
      <w:pPr>
        <w:spacing w:line="420" w:lineRule="exact"/>
        <w:ind w:leftChars="100" w:left="240" w:firstLineChars="136" w:firstLine="327"/>
        <w:jc w:val="both"/>
        <w:rPr>
          <w:rFonts w:ascii="標楷體" w:eastAsia="標楷體" w:hAnsi="標楷體"/>
          <w:b/>
          <w:szCs w:val="24"/>
        </w:rPr>
      </w:pPr>
      <w:r w:rsidRPr="00D25361">
        <w:rPr>
          <w:rFonts w:ascii="標楷體" w:eastAsia="標楷體" w:hAnsi="標楷體" w:hint="eastAsia"/>
          <w:b/>
          <w:szCs w:val="24"/>
        </w:rPr>
        <w:t>一、問題：</w:t>
      </w:r>
    </w:p>
    <w:p w:rsidR="00FD3F0A" w:rsidRPr="00D25361" w:rsidRDefault="00FD3F0A" w:rsidP="006559A4">
      <w:pPr>
        <w:spacing w:line="420" w:lineRule="exact"/>
        <w:ind w:leftChars="178" w:left="1561" w:hangingChars="472" w:hanging="1134"/>
        <w:jc w:val="both"/>
        <w:rPr>
          <w:rFonts w:ascii="標楷體" w:eastAsia="標楷體" w:hAnsi="標楷體"/>
          <w:szCs w:val="24"/>
        </w:rPr>
      </w:pPr>
      <w:r w:rsidRPr="00290D42">
        <w:rPr>
          <w:rFonts w:ascii="標楷體" w:eastAsia="標楷體" w:hAnsi="標楷體" w:hint="eastAsia"/>
          <w:b/>
          <w:szCs w:val="24"/>
        </w:rPr>
        <w:t>（一）</w:t>
      </w:r>
      <w:r w:rsidRPr="00290D42">
        <w:rPr>
          <w:rFonts w:ascii="標楷體" w:eastAsia="標楷體" w:hAnsi="標楷體"/>
          <w:b/>
          <w:szCs w:val="24"/>
        </w:rPr>
        <w:t>1</w:t>
      </w:r>
      <w:r w:rsidRPr="00290D42">
        <w:rPr>
          <w:rFonts w:ascii="標楷體" w:eastAsia="標楷體" w:hAnsi="標楷體" w:hint="eastAsia"/>
          <w:b/>
          <w:szCs w:val="24"/>
        </w:rPr>
        <w:t>、</w:t>
      </w:r>
      <w:r w:rsidRPr="00D25361">
        <w:rPr>
          <w:rFonts w:ascii="標楷體" w:eastAsia="標楷體" w:hAnsi="標楷體" w:hint="eastAsia"/>
          <w:szCs w:val="24"/>
        </w:rPr>
        <w:t>其他法律得否明文排除本法第</w:t>
      </w:r>
      <w:r w:rsidRPr="00D25361">
        <w:rPr>
          <w:rFonts w:ascii="標楷體" w:eastAsia="標楷體" w:hAnsi="標楷體"/>
          <w:szCs w:val="24"/>
        </w:rPr>
        <w:t xml:space="preserve">26 </w:t>
      </w:r>
      <w:r w:rsidRPr="00D25361">
        <w:rPr>
          <w:rFonts w:ascii="標楷體" w:eastAsia="標楷體" w:hAnsi="標楷體" w:hint="eastAsia"/>
          <w:szCs w:val="24"/>
        </w:rPr>
        <w:t>條規定，對於同一違法行為併處以刑罰與行政罰？</w:t>
      </w:r>
    </w:p>
    <w:p w:rsidR="00FD3F0A" w:rsidRPr="00D25361" w:rsidRDefault="00FD3F0A" w:rsidP="006559A4">
      <w:pPr>
        <w:spacing w:line="420" w:lineRule="exact"/>
        <w:ind w:leftChars="472" w:left="1558" w:hangingChars="177" w:hanging="425"/>
        <w:jc w:val="both"/>
        <w:rPr>
          <w:rFonts w:ascii="標楷體" w:eastAsia="標楷體" w:hAnsi="標楷體"/>
          <w:szCs w:val="24"/>
        </w:rPr>
      </w:pPr>
      <w:r w:rsidRPr="00290D42">
        <w:rPr>
          <w:rFonts w:ascii="標楷體" w:eastAsia="標楷體" w:hAnsi="標楷體"/>
          <w:b/>
          <w:szCs w:val="24"/>
        </w:rPr>
        <w:t>2</w:t>
      </w:r>
      <w:r w:rsidRPr="00290D42">
        <w:rPr>
          <w:rFonts w:ascii="標楷體" w:eastAsia="標楷體" w:hAnsi="標楷體" w:hint="eastAsia"/>
          <w:b/>
          <w:szCs w:val="24"/>
        </w:rPr>
        <w:t>、</w:t>
      </w:r>
      <w:r w:rsidRPr="00D25361">
        <w:rPr>
          <w:rFonts w:ascii="標楷體" w:eastAsia="標楷體" w:hAnsi="標楷體" w:hint="eastAsia"/>
          <w:szCs w:val="24"/>
        </w:rPr>
        <w:t>本法於</w:t>
      </w:r>
      <w:r w:rsidRPr="00D25361">
        <w:rPr>
          <w:rFonts w:ascii="標楷體" w:eastAsia="標楷體" w:hAnsi="標楷體"/>
          <w:szCs w:val="24"/>
        </w:rPr>
        <w:t xml:space="preserve">95 </w:t>
      </w:r>
      <w:r w:rsidRPr="00D25361">
        <w:rPr>
          <w:rFonts w:ascii="標楷體" w:eastAsia="標楷體" w:hAnsi="標楷體" w:hint="eastAsia"/>
          <w:szCs w:val="24"/>
        </w:rPr>
        <w:t>年</w:t>
      </w:r>
      <w:r w:rsidRPr="00D25361">
        <w:rPr>
          <w:rFonts w:ascii="標楷體" w:eastAsia="標楷體" w:hAnsi="標楷體"/>
          <w:szCs w:val="24"/>
        </w:rPr>
        <w:t xml:space="preserve">2 </w:t>
      </w:r>
      <w:r w:rsidRPr="00D25361">
        <w:rPr>
          <w:rFonts w:ascii="標楷體" w:eastAsia="標楷體" w:hAnsi="標楷體" w:hint="eastAsia"/>
          <w:szCs w:val="24"/>
        </w:rPr>
        <w:t>月</w:t>
      </w:r>
      <w:r w:rsidRPr="00D25361">
        <w:rPr>
          <w:rFonts w:ascii="標楷體" w:eastAsia="標楷體" w:hAnsi="標楷體"/>
          <w:szCs w:val="24"/>
        </w:rPr>
        <w:t xml:space="preserve">5 </w:t>
      </w:r>
      <w:r w:rsidRPr="00D25361">
        <w:rPr>
          <w:rFonts w:ascii="標楷體" w:eastAsia="標楷體" w:hAnsi="標楷體" w:hint="eastAsia"/>
          <w:szCs w:val="24"/>
        </w:rPr>
        <w:t>日施行後，廢棄物清理法第</w:t>
      </w:r>
      <w:r w:rsidRPr="00D25361">
        <w:rPr>
          <w:rFonts w:ascii="標楷體" w:eastAsia="標楷體" w:hAnsi="標楷體"/>
          <w:szCs w:val="24"/>
        </w:rPr>
        <w:t xml:space="preserve">64 </w:t>
      </w:r>
      <w:r w:rsidRPr="00D25361">
        <w:rPr>
          <w:rFonts w:ascii="標楷體" w:eastAsia="標楷體" w:hAnsi="標楷體" w:hint="eastAsia"/>
          <w:szCs w:val="24"/>
        </w:rPr>
        <w:t>條與本法第</w:t>
      </w:r>
      <w:r w:rsidRPr="00D25361">
        <w:rPr>
          <w:rFonts w:ascii="標楷體" w:eastAsia="標楷體" w:hAnsi="標楷體"/>
          <w:szCs w:val="24"/>
        </w:rPr>
        <w:t xml:space="preserve">26 </w:t>
      </w:r>
      <w:r w:rsidRPr="00D25361">
        <w:rPr>
          <w:rFonts w:ascii="標楷體" w:eastAsia="標楷體" w:hAnsi="標楷體" w:hint="eastAsia"/>
          <w:szCs w:val="24"/>
        </w:rPr>
        <w:t>條之適用關係如何？亦即，廢棄物清理法第</w:t>
      </w:r>
      <w:r w:rsidRPr="00D25361">
        <w:rPr>
          <w:rFonts w:ascii="標楷體" w:eastAsia="標楷體" w:hAnsi="標楷體"/>
          <w:szCs w:val="24"/>
        </w:rPr>
        <w:t xml:space="preserve">64 </w:t>
      </w:r>
      <w:r w:rsidRPr="00D25361">
        <w:rPr>
          <w:rFonts w:ascii="標楷體" w:eastAsia="標楷體" w:hAnsi="標楷體" w:hint="eastAsia"/>
          <w:szCs w:val="24"/>
        </w:rPr>
        <w:t>條規定：「依本法處罰鍰案件，涉及刑事責任者，應分別處罰。」是否屬行政罰法第</w:t>
      </w:r>
      <w:r w:rsidRPr="00D25361">
        <w:rPr>
          <w:rFonts w:ascii="標楷體" w:eastAsia="標楷體" w:hAnsi="標楷體"/>
          <w:szCs w:val="24"/>
        </w:rPr>
        <w:t xml:space="preserve">1 </w:t>
      </w:r>
      <w:r w:rsidRPr="00D25361">
        <w:rPr>
          <w:rFonts w:ascii="標楷體" w:eastAsia="標楷體" w:hAnsi="標楷體" w:hint="eastAsia"/>
          <w:szCs w:val="24"/>
        </w:rPr>
        <w:t>條但書所謂之特別規定而排除同法第</w:t>
      </w:r>
      <w:r w:rsidRPr="00D25361">
        <w:rPr>
          <w:rFonts w:ascii="標楷體" w:eastAsia="標楷體" w:hAnsi="標楷體"/>
          <w:szCs w:val="24"/>
        </w:rPr>
        <w:t>26</w:t>
      </w:r>
      <w:r w:rsidRPr="00D25361">
        <w:rPr>
          <w:rFonts w:ascii="標楷體" w:eastAsia="標楷體" w:hAnsi="標楷體" w:hint="eastAsia"/>
          <w:szCs w:val="24"/>
        </w:rPr>
        <w:t>條規定之適用？</w:t>
      </w:r>
    </w:p>
    <w:p w:rsidR="00FD3F0A" w:rsidRPr="00D25361" w:rsidRDefault="00FD3F0A" w:rsidP="006559A4">
      <w:pPr>
        <w:spacing w:line="420" w:lineRule="exact"/>
        <w:ind w:leftChars="177" w:left="1134" w:hangingChars="295" w:hanging="709"/>
        <w:jc w:val="both"/>
        <w:rPr>
          <w:rFonts w:ascii="標楷體" w:eastAsia="標楷體" w:hAnsi="標楷體"/>
          <w:szCs w:val="24"/>
        </w:rPr>
      </w:pPr>
      <w:r w:rsidRPr="00290D42">
        <w:rPr>
          <w:rFonts w:ascii="標楷體" w:eastAsia="標楷體" w:hAnsi="標楷體" w:hint="eastAsia"/>
          <w:b/>
          <w:szCs w:val="24"/>
        </w:rPr>
        <w:t>（二）</w:t>
      </w:r>
      <w:r w:rsidRPr="00D25361">
        <w:rPr>
          <w:rFonts w:ascii="標楷體" w:eastAsia="標楷體" w:hAnsi="標楷體" w:hint="eastAsia"/>
          <w:szCs w:val="24"/>
        </w:rPr>
        <w:t>違反行政法上義務之行為，於行政罰法（以下簡稱本法）施行前已由裁處機關處罰，嗣經行政救濟程序將原行政裁罰處分撤銷後，原處分機關須另為裁處時，有無本法第</w:t>
      </w:r>
      <w:r w:rsidRPr="00D25361">
        <w:rPr>
          <w:rFonts w:ascii="標楷體" w:eastAsia="標楷體" w:hAnsi="標楷體"/>
          <w:szCs w:val="24"/>
        </w:rPr>
        <w:t xml:space="preserve">5 </w:t>
      </w:r>
      <w:r w:rsidRPr="00D25361">
        <w:rPr>
          <w:rFonts w:ascii="標楷體" w:eastAsia="標楷體" w:hAnsi="標楷體" w:hint="eastAsia"/>
          <w:szCs w:val="24"/>
        </w:rPr>
        <w:t>條「從新從輕原則」規定之適用？</w:t>
      </w:r>
    </w:p>
    <w:p w:rsidR="00FD3F0A" w:rsidRPr="00D25361" w:rsidRDefault="00FD3F0A" w:rsidP="006559A4">
      <w:pPr>
        <w:spacing w:line="420" w:lineRule="exact"/>
        <w:ind w:leftChars="100" w:left="240" w:firstLineChars="136" w:firstLine="327"/>
        <w:jc w:val="both"/>
        <w:rPr>
          <w:rFonts w:ascii="標楷體" w:eastAsia="標楷體" w:hAnsi="標楷體"/>
          <w:b/>
          <w:szCs w:val="24"/>
        </w:rPr>
      </w:pPr>
      <w:r w:rsidRPr="00D25361">
        <w:rPr>
          <w:rFonts w:ascii="標楷體" w:eastAsia="標楷體" w:hAnsi="標楷體" w:hint="eastAsia"/>
          <w:b/>
          <w:szCs w:val="24"/>
        </w:rPr>
        <w:t>二、問題說明：</w:t>
      </w:r>
    </w:p>
    <w:p w:rsidR="00FD3F0A" w:rsidRPr="00D25361" w:rsidRDefault="00FD3F0A" w:rsidP="006559A4">
      <w:pPr>
        <w:spacing w:line="420" w:lineRule="exact"/>
        <w:ind w:leftChars="100" w:left="240" w:firstLineChars="77" w:firstLine="185"/>
        <w:jc w:val="both"/>
        <w:rPr>
          <w:rFonts w:ascii="標楷體" w:eastAsia="標楷體" w:hAnsi="標楷體"/>
          <w:b/>
          <w:szCs w:val="24"/>
        </w:rPr>
      </w:pPr>
      <w:r w:rsidRPr="00D25361">
        <w:rPr>
          <w:rFonts w:ascii="標楷體" w:eastAsia="標楷體" w:hAnsi="標楷體" w:hint="eastAsia"/>
          <w:b/>
          <w:szCs w:val="24"/>
        </w:rPr>
        <w:t>（一）討論事項（一）：</w:t>
      </w:r>
    </w:p>
    <w:p w:rsidR="00FD3F0A" w:rsidRPr="00D25361" w:rsidRDefault="00FD3F0A" w:rsidP="006559A4">
      <w:pPr>
        <w:spacing w:line="420" w:lineRule="exact"/>
        <w:ind w:leftChars="472" w:left="1133"/>
        <w:jc w:val="both"/>
        <w:rPr>
          <w:rFonts w:ascii="標楷體" w:eastAsia="標楷體" w:hAnsi="標楷體"/>
          <w:szCs w:val="24"/>
        </w:rPr>
      </w:pPr>
      <w:r w:rsidRPr="00D25361">
        <w:rPr>
          <w:rFonts w:ascii="標楷體" w:eastAsia="標楷體" w:hAnsi="標楷體" w:hint="eastAsia"/>
          <w:szCs w:val="24"/>
        </w:rPr>
        <w:t xml:space="preserve">　　本法於</w:t>
      </w:r>
      <w:r w:rsidRPr="00D25361">
        <w:rPr>
          <w:rFonts w:ascii="標楷體" w:eastAsia="標楷體" w:hAnsi="標楷體"/>
          <w:szCs w:val="24"/>
        </w:rPr>
        <w:t xml:space="preserve">95 </w:t>
      </w:r>
      <w:r w:rsidRPr="00D25361">
        <w:rPr>
          <w:rFonts w:ascii="標楷體" w:eastAsia="標楷體" w:hAnsi="標楷體" w:hint="eastAsia"/>
          <w:szCs w:val="24"/>
        </w:rPr>
        <w:t>年</w:t>
      </w:r>
      <w:r w:rsidRPr="00D25361">
        <w:rPr>
          <w:rFonts w:ascii="標楷體" w:eastAsia="標楷體" w:hAnsi="標楷體"/>
          <w:szCs w:val="24"/>
        </w:rPr>
        <w:t xml:space="preserve">2 </w:t>
      </w:r>
      <w:r w:rsidRPr="00D25361">
        <w:rPr>
          <w:rFonts w:ascii="標楷體" w:eastAsia="標楷體" w:hAnsi="標楷體" w:hint="eastAsia"/>
          <w:szCs w:val="24"/>
        </w:rPr>
        <w:t>月</w:t>
      </w:r>
      <w:r w:rsidRPr="00D25361">
        <w:rPr>
          <w:rFonts w:ascii="標楷體" w:eastAsia="標楷體" w:hAnsi="標楷體"/>
          <w:szCs w:val="24"/>
        </w:rPr>
        <w:t xml:space="preserve">5 </w:t>
      </w:r>
      <w:r w:rsidRPr="00D25361">
        <w:rPr>
          <w:rFonts w:ascii="標楷體" w:eastAsia="標楷體" w:hAnsi="標楷體" w:hint="eastAsia"/>
          <w:szCs w:val="24"/>
        </w:rPr>
        <w:t>日始正式施行，是以，於是日前有效施行之廢棄物清理法第</w:t>
      </w:r>
      <w:r w:rsidRPr="00D25361">
        <w:rPr>
          <w:rFonts w:ascii="標楷體" w:eastAsia="標楷體" w:hAnsi="標楷體"/>
          <w:szCs w:val="24"/>
        </w:rPr>
        <w:t xml:space="preserve">64 </w:t>
      </w:r>
      <w:r w:rsidRPr="00D25361">
        <w:rPr>
          <w:rFonts w:ascii="標楷體" w:eastAsia="標楷體" w:hAnsi="標楷體" w:hint="eastAsia"/>
          <w:szCs w:val="24"/>
        </w:rPr>
        <w:t>條規定與本法尚無所謂特別規定與普通規定之關係，合先敘明。對於本法尚未施行前同一行為同時獨犯刑事制裁及行政制裁規定是否適用一事不二罰原則，學說雖有不同見解（吳庚著「行政法之理論與實用」，</w:t>
      </w:r>
      <w:r w:rsidRPr="00D25361">
        <w:rPr>
          <w:rFonts w:ascii="標楷體" w:eastAsia="標楷體" w:hAnsi="標楷體"/>
          <w:szCs w:val="24"/>
        </w:rPr>
        <w:t xml:space="preserve">94 </w:t>
      </w:r>
      <w:r w:rsidRPr="00D25361">
        <w:rPr>
          <w:rFonts w:ascii="標楷體" w:eastAsia="標楷體" w:hAnsi="標楷體" w:hint="eastAsia"/>
          <w:szCs w:val="24"/>
        </w:rPr>
        <w:t>年</w:t>
      </w:r>
      <w:r w:rsidRPr="00D25361">
        <w:rPr>
          <w:rFonts w:ascii="標楷體" w:eastAsia="標楷體" w:hAnsi="標楷體"/>
          <w:szCs w:val="24"/>
        </w:rPr>
        <w:t xml:space="preserve">8 </w:t>
      </w:r>
      <w:r w:rsidRPr="00D25361">
        <w:rPr>
          <w:rFonts w:ascii="標楷體" w:eastAsia="標楷體" w:hAnsi="標楷體" w:hint="eastAsia"/>
          <w:szCs w:val="24"/>
        </w:rPr>
        <w:t>月增訂</w:t>
      </w:r>
      <w:r w:rsidRPr="00D25361">
        <w:rPr>
          <w:rFonts w:ascii="標楷體" w:eastAsia="標楷體" w:hAnsi="標楷體"/>
          <w:szCs w:val="24"/>
        </w:rPr>
        <w:t xml:space="preserve">9 </w:t>
      </w:r>
      <w:r w:rsidRPr="00D25361">
        <w:rPr>
          <w:rFonts w:ascii="標楷體" w:eastAsia="標楷體" w:hAnsi="標楷體" w:hint="eastAsia"/>
          <w:szCs w:val="24"/>
        </w:rPr>
        <w:t>版，第</w:t>
      </w:r>
      <w:r w:rsidRPr="00D25361">
        <w:rPr>
          <w:rFonts w:ascii="標楷體" w:eastAsia="標楷體" w:hAnsi="標楷體"/>
          <w:szCs w:val="24"/>
        </w:rPr>
        <w:t xml:space="preserve">508 </w:t>
      </w:r>
      <w:r w:rsidRPr="00D25361">
        <w:rPr>
          <w:rFonts w:ascii="標楷體" w:eastAsia="標楷體" w:hAnsi="標楷體" w:hint="eastAsia"/>
          <w:szCs w:val="24"/>
        </w:rPr>
        <w:t>頁至第</w:t>
      </w:r>
      <w:r w:rsidRPr="00D25361">
        <w:rPr>
          <w:rFonts w:ascii="標楷體" w:eastAsia="標楷體" w:hAnsi="標楷體"/>
          <w:szCs w:val="24"/>
        </w:rPr>
        <w:t xml:space="preserve">509 </w:t>
      </w:r>
      <w:r w:rsidRPr="00D25361">
        <w:rPr>
          <w:rFonts w:ascii="標楷體" w:eastAsia="標楷體" w:hAnsi="標楷體" w:hint="eastAsia"/>
          <w:szCs w:val="24"/>
        </w:rPr>
        <w:t>頁），惟我國目前實務則有認為，同一行為同時觸犯刑事制裁及行政制裁規定，除法律有特別規定或性質不能重複處分者外，當可分別依照規定予以處罰（最高行政法院</w:t>
      </w:r>
      <w:r w:rsidRPr="00D25361">
        <w:rPr>
          <w:rFonts w:ascii="標楷體" w:eastAsia="標楷體" w:hAnsi="標楷體"/>
          <w:szCs w:val="24"/>
        </w:rPr>
        <w:t xml:space="preserve">49 </w:t>
      </w:r>
      <w:r w:rsidRPr="00D25361">
        <w:rPr>
          <w:rFonts w:ascii="標楷體" w:eastAsia="標楷體" w:hAnsi="標楷體" w:hint="eastAsia"/>
          <w:szCs w:val="24"/>
        </w:rPr>
        <w:t>年判字第</w:t>
      </w:r>
      <w:r w:rsidRPr="00D25361">
        <w:rPr>
          <w:rFonts w:ascii="標楷體" w:eastAsia="標楷體" w:hAnsi="標楷體"/>
          <w:szCs w:val="24"/>
        </w:rPr>
        <w:t xml:space="preserve">40 </w:t>
      </w:r>
      <w:r w:rsidRPr="00D25361">
        <w:rPr>
          <w:rFonts w:ascii="標楷體" w:eastAsia="標楷體" w:hAnsi="標楷體" w:hint="eastAsia"/>
          <w:szCs w:val="24"/>
        </w:rPr>
        <w:t>號判例、</w:t>
      </w:r>
      <w:r w:rsidRPr="00D25361">
        <w:rPr>
          <w:rFonts w:ascii="標楷體" w:eastAsia="標楷體" w:hAnsi="標楷體"/>
          <w:szCs w:val="24"/>
        </w:rPr>
        <w:t xml:space="preserve">42 </w:t>
      </w:r>
      <w:r w:rsidRPr="00D25361">
        <w:rPr>
          <w:rFonts w:ascii="標楷體" w:eastAsia="標楷體" w:hAnsi="標楷體" w:hint="eastAsia"/>
          <w:szCs w:val="24"/>
        </w:rPr>
        <w:t>年判字第</w:t>
      </w:r>
      <w:r w:rsidRPr="00D25361">
        <w:rPr>
          <w:rFonts w:ascii="標楷體" w:eastAsia="標楷體" w:hAnsi="標楷體"/>
          <w:szCs w:val="24"/>
        </w:rPr>
        <w:t xml:space="preserve">16 </w:t>
      </w:r>
      <w:r w:rsidRPr="00D25361">
        <w:rPr>
          <w:rFonts w:ascii="標楷體" w:eastAsia="標楷體" w:hAnsi="標楷體" w:hint="eastAsia"/>
          <w:szCs w:val="24"/>
        </w:rPr>
        <w:t>號判例）。但如處罰種類同為對物之沒入或沒收者，行政機關與刑事法院不得重複宣告（司法院院字第</w:t>
      </w:r>
      <w:r w:rsidRPr="00D25361">
        <w:rPr>
          <w:rFonts w:ascii="標楷體" w:eastAsia="標楷體" w:hAnsi="標楷體"/>
          <w:szCs w:val="24"/>
        </w:rPr>
        <w:t xml:space="preserve">2832 </w:t>
      </w:r>
      <w:r w:rsidRPr="00D25361">
        <w:rPr>
          <w:rFonts w:ascii="標楷體" w:eastAsia="標楷體" w:hAnsi="標楷體" w:hint="eastAsia"/>
          <w:szCs w:val="24"/>
        </w:rPr>
        <w:t>號解釋、行政法院</w:t>
      </w:r>
      <w:r w:rsidRPr="00D25361">
        <w:rPr>
          <w:rFonts w:ascii="標楷體" w:eastAsia="標楷體" w:hAnsi="標楷體"/>
          <w:szCs w:val="24"/>
        </w:rPr>
        <w:t xml:space="preserve">42 </w:t>
      </w:r>
      <w:r w:rsidRPr="00D25361">
        <w:rPr>
          <w:rFonts w:ascii="標楷體" w:eastAsia="標楷體" w:hAnsi="標楷體" w:hint="eastAsia"/>
          <w:szCs w:val="24"/>
        </w:rPr>
        <w:t>年判字第</w:t>
      </w:r>
      <w:r w:rsidRPr="00D25361">
        <w:rPr>
          <w:rFonts w:ascii="標楷體" w:eastAsia="標楷體" w:hAnsi="標楷體"/>
          <w:szCs w:val="24"/>
        </w:rPr>
        <w:t xml:space="preserve">42 </w:t>
      </w:r>
      <w:r w:rsidRPr="00D25361">
        <w:rPr>
          <w:rFonts w:ascii="標楷體" w:eastAsia="標楷體" w:hAnsi="標楷體" w:hint="eastAsia"/>
          <w:szCs w:val="24"/>
        </w:rPr>
        <w:t>號判例）。</w:t>
      </w:r>
    </w:p>
    <w:p w:rsidR="00FD3F0A" w:rsidRPr="00D25361" w:rsidRDefault="00FD3F0A" w:rsidP="006559A4">
      <w:pPr>
        <w:spacing w:line="420" w:lineRule="exact"/>
        <w:ind w:leftChars="472" w:left="1133" w:firstLineChars="200" w:firstLine="480"/>
        <w:jc w:val="both"/>
        <w:rPr>
          <w:rFonts w:ascii="標楷體" w:eastAsia="標楷體" w:hAnsi="標楷體"/>
          <w:szCs w:val="24"/>
        </w:rPr>
      </w:pPr>
      <w:r w:rsidRPr="00D25361">
        <w:rPr>
          <w:rFonts w:ascii="標楷體" w:eastAsia="標楷體" w:hAnsi="標楷體" w:hint="eastAsia"/>
          <w:szCs w:val="24"/>
        </w:rPr>
        <w:t>至於本（</w:t>
      </w:r>
      <w:r w:rsidRPr="00D25361">
        <w:rPr>
          <w:rFonts w:ascii="標楷體" w:eastAsia="標楷體" w:hAnsi="標楷體"/>
          <w:szCs w:val="24"/>
        </w:rPr>
        <w:t>95</w:t>
      </w:r>
      <w:r w:rsidRPr="00D25361">
        <w:rPr>
          <w:rFonts w:ascii="標楷體" w:eastAsia="標楷體" w:hAnsi="標楷體" w:hint="eastAsia"/>
          <w:szCs w:val="24"/>
        </w:rPr>
        <w:t>）年</w:t>
      </w:r>
      <w:r w:rsidRPr="00D25361">
        <w:rPr>
          <w:rFonts w:ascii="標楷體" w:eastAsia="標楷體" w:hAnsi="標楷體"/>
          <w:szCs w:val="24"/>
        </w:rPr>
        <w:t xml:space="preserve">2 </w:t>
      </w:r>
      <w:r w:rsidRPr="00D25361">
        <w:rPr>
          <w:rFonts w:ascii="標楷體" w:eastAsia="標楷體" w:hAnsi="標楷體" w:hint="eastAsia"/>
          <w:szCs w:val="24"/>
        </w:rPr>
        <w:t>月</w:t>
      </w:r>
      <w:r w:rsidRPr="00D25361">
        <w:rPr>
          <w:rFonts w:ascii="標楷體" w:eastAsia="標楷體" w:hAnsi="標楷體"/>
          <w:szCs w:val="24"/>
        </w:rPr>
        <w:t xml:space="preserve">5 </w:t>
      </w:r>
      <w:r w:rsidRPr="00D25361">
        <w:rPr>
          <w:rFonts w:ascii="標楷體" w:eastAsia="標楷體" w:hAnsi="標楷體" w:hint="eastAsia"/>
          <w:szCs w:val="24"/>
        </w:rPr>
        <w:t>日本法施行後，廢棄物清理法第</w:t>
      </w:r>
      <w:r w:rsidRPr="00D25361">
        <w:rPr>
          <w:rFonts w:ascii="標楷體" w:eastAsia="標楷體" w:hAnsi="標楷體"/>
          <w:szCs w:val="24"/>
        </w:rPr>
        <w:t xml:space="preserve">64 </w:t>
      </w:r>
      <w:r w:rsidRPr="00D25361">
        <w:rPr>
          <w:rFonts w:ascii="標楷體" w:eastAsia="標楷體" w:hAnsi="標楷體" w:hint="eastAsia"/>
          <w:szCs w:val="24"/>
        </w:rPr>
        <w:t>條是否為本法第</w:t>
      </w:r>
      <w:r w:rsidRPr="00D25361">
        <w:rPr>
          <w:rFonts w:ascii="標楷體" w:eastAsia="標楷體" w:hAnsi="標楷體"/>
          <w:szCs w:val="24"/>
        </w:rPr>
        <w:t xml:space="preserve">26 </w:t>
      </w:r>
      <w:r w:rsidRPr="00D25361">
        <w:rPr>
          <w:rFonts w:ascii="標楷體" w:eastAsia="標楷體" w:hAnsi="標楷體" w:hint="eastAsia"/>
          <w:szCs w:val="24"/>
        </w:rPr>
        <w:t>條之特別規定而可排除該條之適用？又得否容許其他法律立法排除本法第</w:t>
      </w:r>
      <w:r w:rsidRPr="00D25361">
        <w:rPr>
          <w:rFonts w:ascii="標楷體" w:eastAsia="標楷體" w:hAnsi="標楷體"/>
          <w:szCs w:val="24"/>
        </w:rPr>
        <w:t xml:space="preserve">26 </w:t>
      </w:r>
      <w:r w:rsidRPr="00D25361">
        <w:rPr>
          <w:rFonts w:ascii="標楷體" w:eastAsia="標楷體" w:hAnsi="標楷體" w:hint="eastAsia"/>
          <w:szCs w:val="24"/>
        </w:rPr>
        <w:t>條規定而將刑罰與行政罰併罰？滋生疑義，爰提請討論。</w:t>
      </w:r>
    </w:p>
    <w:p w:rsidR="00FD3F0A" w:rsidRPr="00D25361" w:rsidRDefault="00FD3F0A" w:rsidP="006559A4">
      <w:pPr>
        <w:spacing w:line="420" w:lineRule="exact"/>
        <w:ind w:leftChars="100" w:left="240" w:firstLineChars="77" w:firstLine="185"/>
        <w:jc w:val="both"/>
        <w:rPr>
          <w:rFonts w:ascii="標楷體" w:eastAsia="標楷體" w:hAnsi="標楷體"/>
          <w:b/>
          <w:szCs w:val="24"/>
        </w:rPr>
      </w:pPr>
      <w:r w:rsidRPr="00D25361">
        <w:rPr>
          <w:rFonts w:ascii="標楷體" w:eastAsia="標楷體" w:hAnsi="標楷體" w:hint="eastAsia"/>
          <w:b/>
          <w:szCs w:val="24"/>
        </w:rPr>
        <w:t>（二）討論事項（二）：</w:t>
      </w:r>
    </w:p>
    <w:p w:rsidR="00FD3F0A" w:rsidRPr="00D25361" w:rsidRDefault="00FD3F0A" w:rsidP="006559A4">
      <w:pPr>
        <w:spacing w:line="420" w:lineRule="exact"/>
        <w:ind w:leftChars="472" w:left="1133" w:firstLineChars="200" w:firstLine="480"/>
        <w:jc w:val="both"/>
        <w:rPr>
          <w:rFonts w:ascii="標楷體" w:eastAsia="標楷體" w:hAnsi="標楷體"/>
          <w:szCs w:val="24"/>
        </w:rPr>
      </w:pPr>
      <w:r w:rsidRPr="00D25361">
        <w:rPr>
          <w:rFonts w:ascii="標楷體" w:eastAsia="標楷體" w:hAnsi="標楷體" w:hint="eastAsia"/>
          <w:szCs w:val="24"/>
        </w:rPr>
        <w:t>按本法施行前，「實體從舊、程序從新」為行政法適用之一般原則（最高行政法院</w:t>
      </w:r>
      <w:r w:rsidRPr="00D25361">
        <w:rPr>
          <w:rFonts w:ascii="標楷體" w:eastAsia="標楷體" w:hAnsi="標楷體"/>
          <w:szCs w:val="24"/>
        </w:rPr>
        <w:t xml:space="preserve">90 </w:t>
      </w:r>
      <w:r w:rsidRPr="00D25361">
        <w:rPr>
          <w:rFonts w:ascii="標楷體" w:eastAsia="標楷體" w:hAnsi="標楷體" w:hint="eastAsia"/>
          <w:szCs w:val="24"/>
        </w:rPr>
        <w:t>年度判字第</w:t>
      </w:r>
      <w:r w:rsidRPr="00D25361">
        <w:rPr>
          <w:rFonts w:ascii="標楷體" w:eastAsia="標楷體" w:hAnsi="標楷體"/>
          <w:szCs w:val="24"/>
        </w:rPr>
        <w:t xml:space="preserve">391 </w:t>
      </w:r>
      <w:r w:rsidRPr="00D25361">
        <w:rPr>
          <w:rFonts w:ascii="標楷體" w:eastAsia="標楷體" w:hAnsi="標楷體" w:hint="eastAsia"/>
          <w:szCs w:val="24"/>
        </w:rPr>
        <w:t>號判決、台北高等行政法院</w:t>
      </w:r>
      <w:r w:rsidRPr="00D25361">
        <w:rPr>
          <w:rFonts w:ascii="標楷體" w:eastAsia="標楷體" w:hAnsi="標楷體"/>
          <w:szCs w:val="24"/>
        </w:rPr>
        <w:t xml:space="preserve">90 </w:t>
      </w:r>
      <w:r w:rsidRPr="00D25361">
        <w:rPr>
          <w:rFonts w:ascii="標楷體" w:eastAsia="標楷體" w:hAnsi="標楷體" w:hint="eastAsia"/>
          <w:szCs w:val="24"/>
        </w:rPr>
        <w:t>年度訴字第</w:t>
      </w:r>
      <w:r w:rsidRPr="00D25361">
        <w:rPr>
          <w:rFonts w:ascii="標楷體" w:eastAsia="標楷體" w:hAnsi="標楷體"/>
          <w:szCs w:val="24"/>
        </w:rPr>
        <w:t xml:space="preserve">474 </w:t>
      </w:r>
      <w:r w:rsidRPr="00D25361">
        <w:rPr>
          <w:rFonts w:ascii="標楷體" w:eastAsia="標楷體" w:hAnsi="標楷體" w:hint="eastAsia"/>
          <w:szCs w:val="24"/>
        </w:rPr>
        <w:t>號判決），除各行政法規定有「從新從輕」之明文（如稅捐稽徵法第</w:t>
      </w:r>
      <w:r w:rsidRPr="00D25361">
        <w:rPr>
          <w:rFonts w:ascii="標楷體" w:eastAsia="標楷體" w:hAnsi="標楷體"/>
          <w:szCs w:val="24"/>
        </w:rPr>
        <w:t xml:space="preserve">48 </w:t>
      </w:r>
      <w:r w:rsidRPr="00D25361">
        <w:rPr>
          <w:rFonts w:ascii="標楷體" w:eastAsia="標楷體" w:hAnsi="標楷體" w:hint="eastAsia"/>
          <w:szCs w:val="24"/>
        </w:rPr>
        <w:t>條之</w:t>
      </w:r>
      <w:r w:rsidRPr="00D25361">
        <w:rPr>
          <w:rFonts w:ascii="標楷體" w:eastAsia="標楷體" w:hAnsi="標楷體"/>
          <w:szCs w:val="24"/>
        </w:rPr>
        <w:t>3</w:t>
      </w:r>
      <w:r w:rsidRPr="00D25361">
        <w:rPr>
          <w:rFonts w:ascii="標楷體" w:eastAsia="標楷體" w:hAnsi="標楷體" w:hint="eastAsia"/>
          <w:szCs w:val="24"/>
        </w:rPr>
        <w:t>、社會秩序維護法第</w:t>
      </w:r>
      <w:r w:rsidRPr="00D25361">
        <w:rPr>
          <w:rFonts w:ascii="標楷體" w:eastAsia="標楷體" w:hAnsi="標楷體"/>
          <w:szCs w:val="24"/>
        </w:rPr>
        <w:t xml:space="preserve">3 </w:t>
      </w:r>
      <w:r w:rsidRPr="00D25361">
        <w:rPr>
          <w:rFonts w:ascii="標楷體" w:eastAsia="標楷體" w:hAnsi="標楷體" w:hint="eastAsia"/>
          <w:szCs w:val="24"/>
        </w:rPr>
        <w:t>條規定）外，在本法施行前，違反行政法上義務之行為，係依行為時之法律處罰。惟本法施行後，行為後法律或自治條例有變更者，即適用本法第</w:t>
      </w:r>
      <w:r w:rsidRPr="00D25361">
        <w:rPr>
          <w:rFonts w:ascii="標楷體" w:eastAsia="標楷體" w:hAnsi="標楷體"/>
          <w:szCs w:val="24"/>
        </w:rPr>
        <w:t xml:space="preserve">5 </w:t>
      </w:r>
      <w:r w:rsidRPr="00D25361">
        <w:rPr>
          <w:rFonts w:ascii="標楷體" w:eastAsia="標楷體" w:hAnsi="標楷體" w:hint="eastAsia"/>
          <w:szCs w:val="24"/>
        </w:rPr>
        <w:t>條所定「從輕從新原則」。至於本法施行前違反行政法上義務之行為應受處罰而「未經裁處」之案件，依本法第</w:t>
      </w:r>
      <w:r w:rsidRPr="00D25361">
        <w:rPr>
          <w:rFonts w:ascii="標楷體" w:eastAsia="標楷體" w:hAnsi="標楷體"/>
          <w:szCs w:val="24"/>
        </w:rPr>
        <w:t xml:space="preserve">45 </w:t>
      </w:r>
      <w:r w:rsidRPr="00D25361">
        <w:rPr>
          <w:rFonts w:ascii="標楷體" w:eastAsia="標楷體" w:hAnsi="標楷體" w:hint="eastAsia"/>
          <w:szCs w:val="24"/>
        </w:rPr>
        <w:t>條第</w:t>
      </w:r>
      <w:r w:rsidRPr="00D25361">
        <w:rPr>
          <w:rFonts w:ascii="標楷體" w:eastAsia="標楷體" w:hAnsi="標楷體"/>
          <w:szCs w:val="24"/>
        </w:rPr>
        <w:t xml:space="preserve">1 </w:t>
      </w:r>
      <w:r w:rsidRPr="00D25361">
        <w:rPr>
          <w:rFonts w:ascii="標楷體" w:eastAsia="標楷體" w:hAnsi="標楷體" w:hint="eastAsia"/>
          <w:szCs w:val="24"/>
        </w:rPr>
        <w:t>項規定，亦有本法第</w:t>
      </w:r>
      <w:r w:rsidRPr="00D25361">
        <w:rPr>
          <w:rFonts w:ascii="標楷體" w:eastAsia="標楷體" w:hAnsi="標楷體"/>
          <w:szCs w:val="24"/>
        </w:rPr>
        <w:t xml:space="preserve">5 </w:t>
      </w:r>
      <w:r w:rsidRPr="00D25361">
        <w:rPr>
          <w:rFonts w:ascii="標楷體" w:eastAsia="標楷體" w:hAnsi="標楷體" w:hint="eastAsia"/>
          <w:szCs w:val="24"/>
        </w:rPr>
        <w:t>條從輕從新原則之適用，然對於本法施行前違反行政法上義務之行為「已經裁處」，而原行政裁罰處分因救濟程序被撤銷，原處分機關須另為裁處時，於本法施行後是否應依本法第</w:t>
      </w:r>
      <w:r w:rsidRPr="00D25361">
        <w:rPr>
          <w:rFonts w:ascii="標楷體" w:eastAsia="標楷體" w:hAnsi="標楷體"/>
          <w:szCs w:val="24"/>
        </w:rPr>
        <w:t xml:space="preserve">5 </w:t>
      </w:r>
      <w:r w:rsidRPr="00D25361">
        <w:rPr>
          <w:rFonts w:ascii="標楷體" w:eastAsia="標楷體" w:hAnsi="標楷體" w:hint="eastAsia"/>
          <w:szCs w:val="24"/>
        </w:rPr>
        <w:t>條，以變更後之法律為裁處，爰滋生疑義，提請討論。</w:t>
      </w:r>
    </w:p>
    <w:p w:rsidR="00FD3F0A" w:rsidRPr="00D25361" w:rsidRDefault="00FD3F0A" w:rsidP="006559A4">
      <w:pPr>
        <w:spacing w:line="420" w:lineRule="exact"/>
        <w:ind w:leftChars="100" w:left="240" w:firstLineChars="136" w:firstLine="327"/>
        <w:jc w:val="both"/>
        <w:rPr>
          <w:rFonts w:ascii="標楷體" w:eastAsia="標楷體" w:hAnsi="標楷體"/>
          <w:b/>
          <w:szCs w:val="24"/>
        </w:rPr>
      </w:pPr>
      <w:r w:rsidRPr="00D25361">
        <w:rPr>
          <w:rFonts w:ascii="標楷體" w:eastAsia="標楷體" w:hAnsi="標楷體" w:hint="eastAsia"/>
          <w:b/>
          <w:szCs w:val="24"/>
        </w:rPr>
        <w:t>三、法律事務司初步研究意見：</w:t>
      </w:r>
    </w:p>
    <w:p w:rsidR="00FD3F0A" w:rsidRPr="00D25361" w:rsidRDefault="00FD3F0A" w:rsidP="006559A4">
      <w:pPr>
        <w:spacing w:line="420" w:lineRule="exact"/>
        <w:ind w:leftChars="100" w:left="240" w:firstLineChars="77" w:firstLine="185"/>
        <w:jc w:val="both"/>
        <w:rPr>
          <w:rFonts w:ascii="標楷體" w:eastAsia="標楷體" w:hAnsi="標楷體"/>
          <w:b/>
          <w:szCs w:val="24"/>
        </w:rPr>
      </w:pPr>
      <w:r w:rsidRPr="00D25361">
        <w:rPr>
          <w:rFonts w:ascii="標楷體" w:eastAsia="標楷體" w:hAnsi="標楷體" w:hint="eastAsia"/>
          <w:b/>
          <w:szCs w:val="24"/>
        </w:rPr>
        <w:t>（一）討論事項（一）之</w:t>
      </w:r>
      <w:r w:rsidRPr="00D25361">
        <w:rPr>
          <w:rFonts w:ascii="標楷體" w:eastAsia="標楷體" w:hAnsi="標楷體"/>
          <w:b/>
          <w:szCs w:val="24"/>
        </w:rPr>
        <w:t>1</w:t>
      </w:r>
      <w:r w:rsidRPr="00D25361">
        <w:rPr>
          <w:rFonts w:ascii="標楷體" w:eastAsia="標楷體" w:hAnsi="標楷體" w:hint="eastAsia"/>
          <w:b/>
          <w:szCs w:val="24"/>
        </w:rPr>
        <w:t>：</w:t>
      </w:r>
    </w:p>
    <w:p w:rsidR="00FD3F0A" w:rsidRPr="00D25361" w:rsidRDefault="00FD3F0A" w:rsidP="006559A4">
      <w:pPr>
        <w:spacing w:line="420" w:lineRule="exact"/>
        <w:ind w:leftChars="500" w:left="1200"/>
        <w:jc w:val="both"/>
        <w:rPr>
          <w:rFonts w:ascii="標楷體" w:eastAsia="標楷體" w:hAnsi="標楷體"/>
          <w:b/>
          <w:szCs w:val="24"/>
        </w:rPr>
      </w:pPr>
      <w:r w:rsidRPr="00D25361">
        <w:rPr>
          <w:rFonts w:ascii="標楷體" w:eastAsia="標楷體" w:hAnsi="標楷體" w:hint="eastAsia"/>
          <w:b/>
          <w:szCs w:val="24"/>
        </w:rPr>
        <w:t>甲說（「一行為不二罰」為憲法原則，其他法律不得排除本法第</w:t>
      </w:r>
      <w:r w:rsidRPr="00D25361">
        <w:rPr>
          <w:rFonts w:ascii="標楷體" w:eastAsia="標楷體" w:hAnsi="標楷體"/>
          <w:b/>
          <w:szCs w:val="24"/>
        </w:rPr>
        <w:t>26</w:t>
      </w:r>
      <w:r w:rsidRPr="00D25361">
        <w:rPr>
          <w:rFonts w:ascii="標楷體" w:eastAsia="標楷體" w:hAnsi="標楷體" w:hint="eastAsia"/>
          <w:b/>
          <w:szCs w:val="24"/>
        </w:rPr>
        <w:t>條規定而將刑罰與行政罰併罰）：</w:t>
      </w:r>
    </w:p>
    <w:p w:rsidR="00FD3F0A" w:rsidRPr="00D25361" w:rsidRDefault="00FD3F0A" w:rsidP="006559A4">
      <w:pPr>
        <w:spacing w:line="420" w:lineRule="exact"/>
        <w:ind w:leftChars="498" w:left="1272" w:hangingChars="32" w:hanging="77"/>
        <w:jc w:val="both"/>
        <w:rPr>
          <w:rFonts w:ascii="標楷體" w:eastAsia="標楷體" w:hAnsi="標楷體"/>
          <w:szCs w:val="24"/>
        </w:rPr>
      </w:pPr>
      <w:r w:rsidRPr="00D25361">
        <w:rPr>
          <w:rFonts w:ascii="標楷體" w:eastAsia="標楷體" w:hAnsi="標楷體" w:hint="eastAsia"/>
          <w:b/>
          <w:szCs w:val="24"/>
        </w:rPr>
        <w:t xml:space="preserve">　　</w:t>
      </w:r>
      <w:r w:rsidRPr="00D25361">
        <w:rPr>
          <w:rFonts w:ascii="標楷體" w:eastAsia="標楷體" w:hAnsi="標楷體" w:hint="eastAsia"/>
          <w:szCs w:val="24"/>
        </w:rPr>
        <w:t>「一行為不二罰原則」，又稱「禁止雙重處罰原則」，顧名思義，指就人民同一違法行為，禁止國家為多次之處罰，其不僅禁止於一行為已受到處罰後，對同一行為再行追訴、處罰，也禁止對同一行為同時作多次之處罰。我國憲法固然沒有「一行為不二罰原則」的明文，惟從法治國家所要求之法安定原則、信賴保護原則以及比例原則均不難導出一行為不能重複處罰之要求。是「一行為不二罰原則」具有憲法位階，應無疑義。</w:t>
      </w:r>
    </w:p>
    <w:p w:rsidR="00FD3F0A" w:rsidRPr="00D25361" w:rsidRDefault="00FD3F0A" w:rsidP="006559A4">
      <w:pPr>
        <w:spacing w:line="420" w:lineRule="exact"/>
        <w:ind w:leftChars="498" w:left="1272" w:hangingChars="32" w:hanging="77"/>
        <w:jc w:val="both"/>
        <w:rPr>
          <w:rFonts w:ascii="標楷體" w:eastAsia="標楷體" w:hAnsi="標楷體"/>
          <w:szCs w:val="24"/>
        </w:rPr>
      </w:pPr>
      <w:r w:rsidRPr="00D25361">
        <w:rPr>
          <w:rFonts w:ascii="標楷體" w:eastAsia="標楷體" w:hAnsi="標楷體" w:hint="eastAsia"/>
          <w:szCs w:val="24"/>
        </w:rPr>
        <w:t xml:space="preserve">　　如認為「一行為不二罰原則」為憲法層次之原則，則上開原則亦應拘束立法者，換言之，立法者不得立法將刑罰與行政罰併罰，俾免違憲之虞。</w:t>
      </w:r>
    </w:p>
    <w:p w:rsidR="00FD3F0A" w:rsidRPr="00D25361" w:rsidRDefault="00FD3F0A" w:rsidP="006559A4">
      <w:pPr>
        <w:spacing w:line="420" w:lineRule="exact"/>
        <w:ind w:leftChars="500" w:left="1200"/>
        <w:jc w:val="both"/>
        <w:rPr>
          <w:rFonts w:ascii="標楷體" w:eastAsia="標楷體" w:hAnsi="標楷體"/>
          <w:b/>
          <w:szCs w:val="24"/>
        </w:rPr>
      </w:pPr>
      <w:r w:rsidRPr="00D25361">
        <w:rPr>
          <w:rFonts w:ascii="標楷體" w:eastAsia="標楷體" w:hAnsi="標楷體" w:hint="eastAsia"/>
          <w:b/>
          <w:szCs w:val="24"/>
        </w:rPr>
        <w:t>乙說（「一行為不二罰」雖為憲法原則，但為維護其他憲法價值，其他法律仍得排除本法第</w:t>
      </w:r>
      <w:r w:rsidRPr="00D25361">
        <w:rPr>
          <w:rFonts w:ascii="標楷體" w:eastAsia="標楷體" w:hAnsi="標楷體"/>
          <w:b/>
          <w:szCs w:val="24"/>
        </w:rPr>
        <w:t>26</w:t>
      </w:r>
      <w:r w:rsidRPr="00D25361">
        <w:rPr>
          <w:rFonts w:ascii="標楷體" w:eastAsia="標楷體" w:hAnsi="標楷體" w:hint="eastAsia"/>
          <w:b/>
          <w:szCs w:val="24"/>
        </w:rPr>
        <w:t>條規定而將刑罰與行政罰併罰）：</w:t>
      </w:r>
    </w:p>
    <w:p w:rsidR="00FD3F0A" w:rsidRPr="00D25361" w:rsidRDefault="00FD3F0A" w:rsidP="006559A4">
      <w:pPr>
        <w:spacing w:line="420" w:lineRule="exact"/>
        <w:ind w:leftChars="498" w:left="1272" w:hangingChars="32" w:hanging="77"/>
        <w:jc w:val="both"/>
        <w:rPr>
          <w:rFonts w:ascii="標楷體" w:eastAsia="標楷體" w:hAnsi="標楷體"/>
          <w:szCs w:val="24"/>
        </w:rPr>
      </w:pPr>
      <w:r w:rsidRPr="00D25361">
        <w:rPr>
          <w:rFonts w:ascii="標楷體" w:eastAsia="標楷體" w:hAnsi="標楷體" w:hint="eastAsia"/>
          <w:szCs w:val="24"/>
        </w:rPr>
        <w:t xml:space="preserve">　　「一行為不二罰」原則雖有其憲法上之根據，惟立法者若為落實其他憲法價值，並實現各種之保護委託（</w:t>
      </w:r>
      <w:r w:rsidRPr="00D25361">
        <w:rPr>
          <w:rFonts w:ascii="標楷體" w:eastAsia="標楷體" w:hAnsi="標楷體"/>
          <w:szCs w:val="24"/>
        </w:rPr>
        <w:t>Schutzauftrag</w:t>
      </w:r>
      <w:r w:rsidRPr="00D25361">
        <w:rPr>
          <w:rFonts w:ascii="標楷體" w:eastAsia="標楷體" w:hAnsi="標楷體" w:hint="eastAsia"/>
          <w:szCs w:val="24"/>
        </w:rPr>
        <w:t>），而須採行多樣之維持秩序措施（</w:t>
      </w:r>
      <w:r w:rsidRPr="00D25361">
        <w:rPr>
          <w:rFonts w:ascii="標楷體" w:eastAsia="標楷體" w:hAnsi="標楷體"/>
          <w:szCs w:val="24"/>
        </w:rPr>
        <w:t>Ordnungsmasnahmen</w:t>
      </w:r>
      <w:r w:rsidRPr="00D25361">
        <w:rPr>
          <w:rFonts w:ascii="標楷體" w:eastAsia="標楷體" w:hAnsi="標楷體" w:hint="eastAsia"/>
          <w:szCs w:val="24"/>
        </w:rPr>
        <w:t>）、執行行為（</w:t>
      </w:r>
      <w:r w:rsidRPr="00D25361">
        <w:rPr>
          <w:rFonts w:ascii="標楷體" w:eastAsia="標楷體" w:hAnsi="標楷體"/>
          <w:szCs w:val="24"/>
        </w:rPr>
        <w:t>Vollstreckungsakte</w:t>
      </w:r>
      <w:r w:rsidRPr="00D25361">
        <w:rPr>
          <w:rFonts w:ascii="標楷體" w:eastAsia="標楷體" w:hAnsi="標楷體" w:hint="eastAsia"/>
          <w:szCs w:val="24"/>
        </w:rPr>
        <w:t>）或預防措施（</w:t>
      </w:r>
      <w:r w:rsidRPr="00D25361">
        <w:rPr>
          <w:rFonts w:ascii="標楷體" w:eastAsia="標楷體" w:hAnsi="標楷體"/>
          <w:szCs w:val="24"/>
        </w:rPr>
        <w:t>Praventivmasnahmen</w:t>
      </w:r>
      <w:r w:rsidRPr="00D25361">
        <w:rPr>
          <w:rFonts w:ascii="標楷體" w:eastAsia="標楷體" w:hAnsi="標楷體" w:hint="eastAsia"/>
          <w:szCs w:val="24"/>
        </w:rPr>
        <w:t>）時，並非完全不得就人民之同一行為多次地給予不利益處分，亦即該原則並非將國家對於人民之同一行為，予以數次制裁之可能性完全排除。此外，「一行為不二罰」原則除係為落實法安定性及信賴保護原則所必要者外，其亦為憲法上比例原則之表現，蓋若對於人民之行為予以一次之處罰即可達到目的，即無予多次處罰的必要，因此，立法者對於行為人之同一行為予以連續處罰之規定，必須受到比例原則的檢視（釋字</w:t>
      </w:r>
      <w:r w:rsidRPr="00D25361">
        <w:rPr>
          <w:rFonts w:ascii="標楷體" w:eastAsia="標楷體" w:hAnsi="標楷體"/>
          <w:szCs w:val="24"/>
        </w:rPr>
        <w:t>604</w:t>
      </w:r>
      <w:r w:rsidRPr="00D25361">
        <w:rPr>
          <w:rFonts w:ascii="標楷體" w:eastAsia="標楷體" w:hAnsi="標楷體" w:hint="eastAsia"/>
          <w:szCs w:val="24"/>
        </w:rPr>
        <w:t>號解釋城仲模大法官之協同意見書；另同號解釋中彭鳳至大法官之協同意見書亦有類似見解）。</w:t>
      </w:r>
    </w:p>
    <w:p w:rsidR="00FD3F0A" w:rsidRPr="00D25361" w:rsidRDefault="00FD3F0A" w:rsidP="006559A4">
      <w:pPr>
        <w:spacing w:line="420" w:lineRule="exact"/>
        <w:ind w:leftChars="498" w:left="1272" w:hangingChars="32" w:hanging="77"/>
        <w:jc w:val="both"/>
        <w:rPr>
          <w:rFonts w:ascii="標楷體" w:eastAsia="標楷體" w:hAnsi="標楷體"/>
          <w:szCs w:val="24"/>
        </w:rPr>
      </w:pPr>
      <w:r w:rsidRPr="00D25361">
        <w:rPr>
          <w:rFonts w:ascii="標楷體" w:eastAsia="標楷體" w:hAnsi="標楷體" w:hint="eastAsia"/>
          <w:szCs w:val="24"/>
        </w:rPr>
        <w:t xml:space="preserve">　　準此，如為維護其他憲法價值且合乎比例原則之要求下，其他法律仍得立法排除本法第</w:t>
      </w:r>
      <w:r w:rsidRPr="00D25361">
        <w:rPr>
          <w:rFonts w:ascii="標楷體" w:eastAsia="標楷體" w:hAnsi="標楷體"/>
          <w:szCs w:val="24"/>
        </w:rPr>
        <w:t>26</w:t>
      </w:r>
      <w:r w:rsidRPr="00D25361">
        <w:rPr>
          <w:rFonts w:ascii="標楷體" w:eastAsia="標楷體" w:hAnsi="標楷體" w:hint="eastAsia"/>
          <w:szCs w:val="24"/>
        </w:rPr>
        <w:t>條規定而將刑罰與行政罰併罰。</w:t>
      </w:r>
    </w:p>
    <w:p w:rsidR="00FD3F0A" w:rsidRPr="00D25361" w:rsidRDefault="00FD3F0A" w:rsidP="006559A4">
      <w:pPr>
        <w:spacing w:line="420" w:lineRule="exact"/>
        <w:ind w:leftChars="200" w:left="480"/>
        <w:jc w:val="both"/>
        <w:rPr>
          <w:rFonts w:ascii="標楷體" w:eastAsia="標楷體" w:hAnsi="標楷體"/>
          <w:b/>
          <w:szCs w:val="24"/>
        </w:rPr>
      </w:pPr>
      <w:r w:rsidRPr="00D25361">
        <w:rPr>
          <w:rFonts w:ascii="標楷體" w:eastAsia="標楷體" w:hAnsi="標楷體" w:hint="eastAsia"/>
          <w:b/>
          <w:szCs w:val="24"/>
        </w:rPr>
        <w:t>（二）討論事項（一）之</w:t>
      </w:r>
      <w:r w:rsidRPr="00D25361">
        <w:rPr>
          <w:rFonts w:ascii="標楷體" w:eastAsia="標楷體" w:hAnsi="標楷體"/>
          <w:b/>
          <w:szCs w:val="24"/>
        </w:rPr>
        <w:t>2</w:t>
      </w:r>
      <w:r w:rsidRPr="00D25361">
        <w:rPr>
          <w:rFonts w:ascii="標楷體" w:eastAsia="標楷體" w:hAnsi="標楷體" w:hint="eastAsia"/>
          <w:b/>
          <w:szCs w:val="24"/>
        </w:rPr>
        <w:t>：</w:t>
      </w:r>
    </w:p>
    <w:p w:rsidR="00FD3F0A" w:rsidRPr="00D25361" w:rsidRDefault="00FD3F0A" w:rsidP="006559A4">
      <w:pPr>
        <w:spacing w:line="420" w:lineRule="exact"/>
        <w:ind w:leftChars="500" w:left="1200"/>
        <w:jc w:val="both"/>
        <w:rPr>
          <w:rFonts w:ascii="標楷體" w:eastAsia="標楷體" w:hAnsi="標楷體"/>
          <w:b/>
          <w:szCs w:val="24"/>
        </w:rPr>
      </w:pPr>
      <w:r w:rsidRPr="00D25361">
        <w:rPr>
          <w:rFonts w:ascii="標楷體" w:eastAsia="標楷體" w:hAnsi="標楷體" w:hint="eastAsia"/>
          <w:b/>
          <w:szCs w:val="24"/>
        </w:rPr>
        <w:t>甲說（廢棄物清理法第</w:t>
      </w:r>
      <w:r w:rsidRPr="00D25361">
        <w:rPr>
          <w:rFonts w:ascii="標楷體" w:eastAsia="標楷體" w:hAnsi="標楷體"/>
          <w:b/>
          <w:szCs w:val="24"/>
        </w:rPr>
        <w:t>64</w:t>
      </w:r>
      <w:r w:rsidRPr="00D25361">
        <w:rPr>
          <w:rFonts w:ascii="標楷體" w:eastAsia="標楷體" w:hAnsi="標楷體" w:hint="eastAsia"/>
          <w:b/>
          <w:szCs w:val="24"/>
        </w:rPr>
        <w:t>條係本法第</w:t>
      </w:r>
      <w:r w:rsidRPr="00D25361">
        <w:rPr>
          <w:rFonts w:ascii="標楷體" w:eastAsia="標楷體" w:hAnsi="標楷體"/>
          <w:b/>
          <w:szCs w:val="24"/>
        </w:rPr>
        <w:t>1</w:t>
      </w:r>
      <w:r w:rsidRPr="00D25361">
        <w:rPr>
          <w:rFonts w:ascii="標楷體" w:eastAsia="標楷體" w:hAnsi="標楷體" w:hint="eastAsia"/>
          <w:b/>
          <w:szCs w:val="24"/>
        </w:rPr>
        <w:t>條但書之特別規定）：</w:t>
      </w:r>
    </w:p>
    <w:p w:rsidR="00FD3F0A" w:rsidRPr="00D25361" w:rsidRDefault="00FD3F0A" w:rsidP="006559A4">
      <w:pPr>
        <w:spacing w:line="420" w:lineRule="exact"/>
        <w:ind w:leftChars="498" w:left="1272" w:hangingChars="32" w:hanging="77"/>
        <w:jc w:val="both"/>
        <w:rPr>
          <w:rFonts w:ascii="標楷體" w:eastAsia="標楷體" w:hAnsi="標楷體"/>
          <w:szCs w:val="24"/>
        </w:rPr>
      </w:pPr>
      <w:r w:rsidRPr="00D25361">
        <w:rPr>
          <w:rFonts w:ascii="標楷體" w:eastAsia="標楷體" w:hAnsi="標楷體" w:hint="eastAsia"/>
          <w:szCs w:val="24"/>
        </w:rPr>
        <w:t xml:space="preserve">　　按廢棄物清理法第</w:t>
      </w:r>
      <w:r w:rsidRPr="00D25361">
        <w:rPr>
          <w:rFonts w:ascii="標楷體" w:eastAsia="標楷體" w:hAnsi="標楷體"/>
          <w:szCs w:val="24"/>
        </w:rPr>
        <w:t>64</w:t>
      </w:r>
      <w:r w:rsidRPr="00D25361">
        <w:rPr>
          <w:rFonts w:ascii="標楷體" w:eastAsia="標楷體" w:hAnsi="標楷體" w:hint="eastAsia"/>
          <w:szCs w:val="24"/>
        </w:rPr>
        <w:t>條與本法第</w:t>
      </w:r>
      <w:r w:rsidRPr="00D25361">
        <w:rPr>
          <w:rFonts w:ascii="標楷體" w:eastAsia="標楷體" w:hAnsi="標楷體"/>
          <w:szCs w:val="24"/>
        </w:rPr>
        <w:t>26</w:t>
      </w:r>
      <w:r w:rsidRPr="00D25361">
        <w:rPr>
          <w:rFonts w:ascii="標楷體" w:eastAsia="標楷體" w:hAnsi="標楷體" w:hint="eastAsia"/>
          <w:szCs w:val="24"/>
        </w:rPr>
        <w:t>條同屬刑罰與行政罰競合時之處理規定，而廢棄物清理法第</w:t>
      </w:r>
      <w:r w:rsidRPr="00D25361">
        <w:rPr>
          <w:rFonts w:ascii="標楷體" w:eastAsia="標楷體" w:hAnsi="標楷體"/>
          <w:szCs w:val="24"/>
        </w:rPr>
        <w:t>64</w:t>
      </w:r>
      <w:r w:rsidRPr="00D25361">
        <w:rPr>
          <w:rFonts w:ascii="標楷體" w:eastAsia="標楷體" w:hAnsi="標楷體" w:hint="eastAsia"/>
          <w:szCs w:val="24"/>
        </w:rPr>
        <w:t>條既為本法施行前存在之有效之法律，且現行司法實務上肯認同一行為同時觸犯刑事制裁及行政制裁規定，除法律有特別規定或性質不能重複處分者外，當可分別依照規定予以處罰。準此，廢棄物清理法第</w:t>
      </w:r>
      <w:r w:rsidRPr="00D25361">
        <w:rPr>
          <w:rFonts w:ascii="標楷體" w:eastAsia="標楷體" w:hAnsi="標楷體"/>
          <w:szCs w:val="24"/>
        </w:rPr>
        <w:t>64</w:t>
      </w:r>
      <w:r w:rsidRPr="00D25361">
        <w:rPr>
          <w:rFonts w:ascii="標楷體" w:eastAsia="標楷體" w:hAnsi="標楷體" w:hint="eastAsia"/>
          <w:szCs w:val="24"/>
        </w:rPr>
        <w:t>條應係本法第</w:t>
      </w:r>
      <w:r w:rsidRPr="00D25361">
        <w:rPr>
          <w:rFonts w:ascii="標楷體" w:eastAsia="標楷體" w:hAnsi="標楷體"/>
          <w:szCs w:val="24"/>
        </w:rPr>
        <w:t>1</w:t>
      </w:r>
      <w:r w:rsidRPr="00D25361">
        <w:rPr>
          <w:rFonts w:ascii="標楷體" w:eastAsia="標楷體" w:hAnsi="標楷體" w:hint="eastAsia"/>
          <w:szCs w:val="24"/>
        </w:rPr>
        <w:t>條但書之特別規定，惟該規定是否符合憲法上之比例原則則係另一問題。</w:t>
      </w:r>
    </w:p>
    <w:p w:rsidR="00FD3F0A" w:rsidRPr="00D25361" w:rsidRDefault="00FD3F0A" w:rsidP="006559A4">
      <w:pPr>
        <w:spacing w:line="420" w:lineRule="exact"/>
        <w:ind w:leftChars="500" w:left="1200"/>
        <w:jc w:val="both"/>
        <w:rPr>
          <w:rFonts w:ascii="標楷體" w:eastAsia="標楷體" w:hAnsi="標楷體"/>
          <w:b/>
          <w:szCs w:val="24"/>
        </w:rPr>
      </w:pPr>
      <w:r w:rsidRPr="00D25361">
        <w:rPr>
          <w:rFonts w:ascii="標楷體" w:eastAsia="標楷體" w:hAnsi="標楷體" w:hint="eastAsia"/>
          <w:b/>
          <w:szCs w:val="24"/>
        </w:rPr>
        <w:t>乙說（廢棄物清理法第</w:t>
      </w:r>
      <w:r w:rsidRPr="00D25361">
        <w:rPr>
          <w:rFonts w:ascii="標楷體" w:eastAsia="標楷體" w:hAnsi="標楷體"/>
          <w:b/>
          <w:szCs w:val="24"/>
        </w:rPr>
        <w:t>64</w:t>
      </w:r>
      <w:r w:rsidRPr="00D25361">
        <w:rPr>
          <w:rFonts w:ascii="標楷體" w:eastAsia="標楷體" w:hAnsi="標楷體" w:hint="eastAsia"/>
          <w:b/>
          <w:szCs w:val="24"/>
        </w:rPr>
        <w:t>條並非本法第</w:t>
      </w:r>
      <w:r w:rsidRPr="00D25361">
        <w:rPr>
          <w:rFonts w:ascii="標楷體" w:eastAsia="標楷體" w:hAnsi="標楷體"/>
          <w:b/>
          <w:szCs w:val="24"/>
        </w:rPr>
        <w:t>1</w:t>
      </w:r>
      <w:r w:rsidRPr="00D25361">
        <w:rPr>
          <w:rFonts w:ascii="標楷體" w:eastAsia="標楷體" w:hAnsi="標楷體" w:hint="eastAsia"/>
          <w:b/>
          <w:szCs w:val="24"/>
        </w:rPr>
        <w:t>條但書之特別規定，本法第</w:t>
      </w:r>
      <w:r w:rsidRPr="00D25361">
        <w:rPr>
          <w:rFonts w:ascii="標楷體" w:eastAsia="標楷體" w:hAnsi="標楷體"/>
          <w:b/>
          <w:szCs w:val="24"/>
        </w:rPr>
        <w:t>26</w:t>
      </w:r>
      <w:r w:rsidRPr="00D25361">
        <w:rPr>
          <w:rFonts w:ascii="標楷體" w:eastAsia="標楷體" w:hAnsi="標楷體" w:hint="eastAsia"/>
          <w:b/>
          <w:szCs w:val="24"/>
        </w:rPr>
        <w:t>條規定仍應適用）：</w:t>
      </w:r>
    </w:p>
    <w:p w:rsidR="00FD3F0A" w:rsidRPr="00D25361" w:rsidRDefault="00FD3F0A" w:rsidP="006559A4">
      <w:pPr>
        <w:spacing w:line="420" w:lineRule="exact"/>
        <w:ind w:leftChars="498" w:left="1272" w:hangingChars="32" w:hanging="77"/>
        <w:jc w:val="both"/>
        <w:rPr>
          <w:rFonts w:ascii="標楷體" w:eastAsia="標楷體" w:hAnsi="標楷體"/>
          <w:szCs w:val="24"/>
        </w:rPr>
      </w:pPr>
      <w:r w:rsidRPr="00D25361">
        <w:rPr>
          <w:rFonts w:ascii="標楷體" w:eastAsia="標楷體" w:hAnsi="標楷體" w:hint="eastAsia"/>
          <w:szCs w:val="24"/>
        </w:rPr>
        <w:t xml:space="preserve">　　廢棄物清理法第</w:t>
      </w:r>
      <w:r w:rsidRPr="00D25361">
        <w:rPr>
          <w:rFonts w:ascii="標楷體" w:eastAsia="標楷體" w:hAnsi="標楷體"/>
          <w:szCs w:val="24"/>
        </w:rPr>
        <w:t>64</w:t>
      </w:r>
      <w:r w:rsidRPr="00D25361">
        <w:rPr>
          <w:rFonts w:ascii="標楷體" w:eastAsia="標楷體" w:hAnsi="標楷體" w:hint="eastAsia"/>
          <w:szCs w:val="24"/>
        </w:rPr>
        <w:t>條係屬本法施行前存在之法制，自本法施行後，已確立行政罰之一般處罰原則，依後法優先於前法原則，現存之個別行政法法制應配合調整，如有作特別規定之必要者，應注意符合法律明確性原則、比例原則、責任原則、一事不二罰原則及正當法律程序原則等憲法、行政法一般原理原則，並應符合本法之立法精神（行政院</w:t>
      </w:r>
      <w:r w:rsidRPr="00D25361">
        <w:rPr>
          <w:rFonts w:ascii="標楷體" w:eastAsia="標楷體" w:hAnsi="標楷體"/>
          <w:szCs w:val="24"/>
        </w:rPr>
        <w:t>94</w:t>
      </w:r>
      <w:r w:rsidRPr="00D25361">
        <w:rPr>
          <w:rFonts w:ascii="標楷體" w:eastAsia="標楷體" w:hAnsi="標楷體" w:hint="eastAsia"/>
          <w:szCs w:val="24"/>
        </w:rPr>
        <w:t>年</w:t>
      </w:r>
      <w:r w:rsidRPr="00D25361">
        <w:rPr>
          <w:rFonts w:ascii="標楷體" w:eastAsia="標楷體" w:hAnsi="標楷體"/>
          <w:szCs w:val="24"/>
        </w:rPr>
        <w:t>8</w:t>
      </w:r>
      <w:r w:rsidRPr="00D25361">
        <w:rPr>
          <w:rFonts w:ascii="標楷體" w:eastAsia="標楷體" w:hAnsi="標楷體" w:hint="eastAsia"/>
          <w:szCs w:val="24"/>
        </w:rPr>
        <w:t>月</w:t>
      </w:r>
      <w:r w:rsidRPr="00D25361">
        <w:rPr>
          <w:rFonts w:ascii="標楷體" w:eastAsia="標楷體" w:hAnsi="標楷體"/>
          <w:szCs w:val="24"/>
        </w:rPr>
        <w:t>8</w:t>
      </w:r>
      <w:r w:rsidRPr="00D25361">
        <w:rPr>
          <w:rFonts w:ascii="標楷體" w:eastAsia="標楷體" w:hAnsi="標楷體" w:hint="eastAsia"/>
          <w:szCs w:val="24"/>
        </w:rPr>
        <w:t>日臺規字第</w:t>
      </w:r>
      <w:r w:rsidRPr="00D25361">
        <w:rPr>
          <w:rFonts w:ascii="標楷體" w:eastAsia="標楷體" w:hAnsi="標楷體"/>
          <w:szCs w:val="24"/>
        </w:rPr>
        <w:t>0940020908</w:t>
      </w:r>
      <w:r w:rsidRPr="00D25361">
        <w:rPr>
          <w:rFonts w:ascii="標楷體" w:eastAsia="標楷體" w:hAnsi="標楷體" w:hint="eastAsia"/>
          <w:szCs w:val="24"/>
        </w:rPr>
        <w:t>號函之「行政機關因應行政罰法施行應注意之法制事項」中第</w:t>
      </w:r>
      <w:r w:rsidRPr="00D25361">
        <w:rPr>
          <w:rFonts w:ascii="標楷體" w:eastAsia="標楷體" w:hAnsi="標楷體"/>
          <w:szCs w:val="24"/>
        </w:rPr>
        <w:t>1</w:t>
      </w:r>
      <w:r w:rsidRPr="00D25361">
        <w:rPr>
          <w:rFonts w:ascii="標楷體" w:eastAsia="標楷體" w:hAnsi="標楷體" w:hint="eastAsia"/>
          <w:szCs w:val="24"/>
        </w:rPr>
        <w:t>點規定）。</w:t>
      </w:r>
    </w:p>
    <w:p w:rsidR="00FD3F0A" w:rsidRPr="00D25361" w:rsidRDefault="00FD3F0A" w:rsidP="006559A4">
      <w:pPr>
        <w:spacing w:line="420" w:lineRule="exact"/>
        <w:ind w:leftChars="200" w:left="480"/>
        <w:jc w:val="both"/>
        <w:rPr>
          <w:rFonts w:ascii="標楷體" w:eastAsia="標楷體" w:hAnsi="標楷體"/>
          <w:b/>
          <w:szCs w:val="24"/>
        </w:rPr>
      </w:pPr>
      <w:r w:rsidRPr="00D25361">
        <w:rPr>
          <w:rFonts w:ascii="標楷體" w:eastAsia="標楷體" w:hAnsi="標楷體" w:hint="eastAsia"/>
          <w:b/>
          <w:szCs w:val="24"/>
        </w:rPr>
        <w:t>（三）討論事項（二）：</w:t>
      </w:r>
    </w:p>
    <w:p w:rsidR="00FD3F0A" w:rsidRPr="00D25361" w:rsidRDefault="00FD3F0A" w:rsidP="006559A4">
      <w:pPr>
        <w:spacing w:line="420" w:lineRule="exact"/>
        <w:ind w:leftChars="500" w:left="1200"/>
        <w:jc w:val="both"/>
        <w:rPr>
          <w:rFonts w:ascii="標楷體" w:eastAsia="標楷體" w:hAnsi="標楷體"/>
          <w:b/>
          <w:szCs w:val="24"/>
        </w:rPr>
      </w:pPr>
      <w:r w:rsidRPr="00D25361">
        <w:rPr>
          <w:rFonts w:ascii="標楷體" w:eastAsia="標楷體" w:hAnsi="標楷體" w:hint="eastAsia"/>
          <w:b/>
          <w:szCs w:val="24"/>
        </w:rPr>
        <w:t>甲說（肯定說）：</w:t>
      </w:r>
    </w:p>
    <w:p w:rsidR="00FD3F0A" w:rsidRPr="00D25361" w:rsidRDefault="00FD3F0A" w:rsidP="006559A4">
      <w:pPr>
        <w:spacing w:line="420" w:lineRule="exact"/>
        <w:ind w:leftChars="498" w:left="1195" w:firstLineChars="200" w:firstLine="480"/>
        <w:jc w:val="both"/>
        <w:rPr>
          <w:rFonts w:ascii="標楷體" w:eastAsia="標楷體" w:hAnsi="標楷體"/>
          <w:szCs w:val="24"/>
        </w:rPr>
      </w:pPr>
      <w:r w:rsidRPr="00D25361">
        <w:rPr>
          <w:rFonts w:ascii="標楷體" w:eastAsia="標楷體" w:hAnsi="標楷體" w:hint="eastAsia"/>
          <w:szCs w:val="24"/>
        </w:rPr>
        <w:t>本法第</w:t>
      </w:r>
      <w:r w:rsidRPr="00D25361">
        <w:rPr>
          <w:rFonts w:ascii="標楷體" w:eastAsia="標楷體" w:hAnsi="標楷體"/>
          <w:szCs w:val="24"/>
        </w:rPr>
        <w:t>5</w:t>
      </w:r>
      <w:r w:rsidRPr="00D25361">
        <w:rPr>
          <w:rFonts w:ascii="標楷體" w:eastAsia="標楷體" w:hAnsi="標楷體" w:hint="eastAsia"/>
          <w:szCs w:val="24"/>
        </w:rPr>
        <w:t>條對於違反行政法上義務之行為，於行為後法律有變更者，原則上採從新原則，亦即適用行政機關最初裁處時之規定，此乃因變更後之法律規定，最接近裁處時之法規範秩序要求會價值。同條但書之規定則係基於人民權利之保障之考量，例外從輕原則，亦即適用最有利於受處罰者之規定。從而，違反行政法上義務之行為，如行為後至行政機關最初裁處前法律有變更，行政機關雖已依行為時之法律處罰，嗣後原裁罰處分，因行政救濟撤銷溯及失其效力，而應於本法施行後重為裁處，此時與未經裁處時相同，依本法第</w:t>
      </w:r>
      <w:r w:rsidRPr="00D25361">
        <w:rPr>
          <w:rFonts w:ascii="標楷體" w:eastAsia="標楷體" w:hAnsi="標楷體"/>
          <w:szCs w:val="24"/>
        </w:rPr>
        <w:t>45</w:t>
      </w:r>
      <w:r w:rsidRPr="00D25361">
        <w:rPr>
          <w:rFonts w:ascii="標楷體" w:eastAsia="標楷體" w:hAnsi="標楷體" w:hint="eastAsia"/>
          <w:szCs w:val="24"/>
        </w:rPr>
        <w:t>條第</w:t>
      </w:r>
      <w:r w:rsidRPr="00D25361">
        <w:rPr>
          <w:rFonts w:ascii="標楷體" w:eastAsia="標楷體" w:hAnsi="標楷體"/>
          <w:szCs w:val="24"/>
        </w:rPr>
        <w:t>1</w:t>
      </w:r>
      <w:r w:rsidRPr="00D25361">
        <w:rPr>
          <w:rFonts w:ascii="標楷體" w:eastAsia="標楷體" w:hAnsi="標楷體" w:hint="eastAsia"/>
          <w:szCs w:val="24"/>
        </w:rPr>
        <w:t>項規定，自有本法第</w:t>
      </w:r>
      <w:r w:rsidRPr="00D25361">
        <w:rPr>
          <w:rFonts w:ascii="標楷體" w:eastAsia="標楷體" w:hAnsi="標楷體"/>
          <w:szCs w:val="24"/>
        </w:rPr>
        <w:t>5</w:t>
      </w:r>
      <w:r w:rsidRPr="00D25361">
        <w:rPr>
          <w:rFonts w:ascii="標楷體" w:eastAsia="標楷體" w:hAnsi="標楷體" w:hint="eastAsia"/>
          <w:szCs w:val="24"/>
        </w:rPr>
        <w:t>條從新從輕原則之適用。</w:t>
      </w:r>
    </w:p>
    <w:p w:rsidR="00FD3F0A" w:rsidRPr="00D25361" w:rsidRDefault="00FD3F0A" w:rsidP="006559A4">
      <w:pPr>
        <w:spacing w:line="420" w:lineRule="exact"/>
        <w:ind w:leftChars="500" w:left="1200"/>
        <w:jc w:val="both"/>
        <w:rPr>
          <w:rFonts w:ascii="標楷體" w:eastAsia="標楷體" w:hAnsi="標楷體"/>
          <w:b/>
          <w:szCs w:val="24"/>
        </w:rPr>
      </w:pPr>
      <w:r w:rsidRPr="00D25361">
        <w:rPr>
          <w:rFonts w:ascii="標楷體" w:eastAsia="標楷體" w:hAnsi="標楷體" w:hint="eastAsia"/>
          <w:b/>
          <w:szCs w:val="24"/>
        </w:rPr>
        <w:t>乙說（否定說）</w:t>
      </w:r>
    </w:p>
    <w:p w:rsidR="00FD3F0A" w:rsidRPr="00D25361" w:rsidRDefault="00FD3F0A" w:rsidP="006559A4">
      <w:pPr>
        <w:spacing w:line="420" w:lineRule="exact"/>
        <w:ind w:leftChars="498" w:left="1195" w:firstLineChars="200" w:firstLine="480"/>
        <w:jc w:val="both"/>
        <w:rPr>
          <w:rFonts w:ascii="標楷體" w:eastAsia="標楷體" w:hAnsi="標楷體"/>
          <w:szCs w:val="24"/>
        </w:rPr>
      </w:pPr>
      <w:r w:rsidRPr="00D25361">
        <w:rPr>
          <w:rFonts w:ascii="標楷體" w:eastAsia="標楷體" w:hAnsi="標楷體" w:hint="eastAsia"/>
          <w:szCs w:val="24"/>
        </w:rPr>
        <w:t>本法第</w:t>
      </w:r>
      <w:r w:rsidRPr="00D25361">
        <w:rPr>
          <w:rFonts w:ascii="標楷體" w:eastAsia="標楷體" w:hAnsi="標楷體"/>
          <w:szCs w:val="24"/>
        </w:rPr>
        <w:t>45</w:t>
      </w:r>
      <w:r w:rsidRPr="00D25361">
        <w:rPr>
          <w:rFonts w:ascii="標楷體" w:eastAsia="標楷體" w:hAnsi="標楷體" w:hint="eastAsia"/>
          <w:szCs w:val="24"/>
        </w:rPr>
        <w:t>條第</w:t>
      </w:r>
      <w:r w:rsidRPr="00D25361">
        <w:rPr>
          <w:rFonts w:ascii="標楷體" w:eastAsia="標楷體" w:hAnsi="標楷體"/>
          <w:szCs w:val="24"/>
        </w:rPr>
        <w:t>1</w:t>
      </w:r>
      <w:r w:rsidRPr="00D25361">
        <w:rPr>
          <w:rFonts w:ascii="標楷體" w:eastAsia="標楷體" w:hAnsi="標楷體" w:hint="eastAsia"/>
          <w:szCs w:val="24"/>
        </w:rPr>
        <w:t>項過渡條款之訂定，除考量法律不溯及既往原則及保障人權等因素外，並兼顧法安定性原則及「實體從程序從新」原則，故其僅對於「本法施行前違反行政法上義務為應受處罰而『未經裁處之案件』」。至於本法施行後，縱原裁罰處分因行政救濟撤銷，僅係在法律規範上該裁罰處分溯及失其效力，惟就事實上，仍屬已為裁處，核與本法第</w:t>
      </w:r>
      <w:r w:rsidRPr="00D25361">
        <w:rPr>
          <w:rFonts w:ascii="標楷體" w:eastAsia="標楷體" w:hAnsi="標楷體"/>
          <w:szCs w:val="24"/>
        </w:rPr>
        <w:t>45</w:t>
      </w:r>
      <w:r w:rsidRPr="00D25361">
        <w:rPr>
          <w:rFonts w:ascii="標楷體" w:eastAsia="標楷體" w:hAnsi="標楷體" w:hint="eastAsia"/>
          <w:szCs w:val="24"/>
        </w:rPr>
        <w:t>條第</w:t>
      </w:r>
      <w:r w:rsidRPr="00D25361">
        <w:rPr>
          <w:rFonts w:ascii="標楷體" w:eastAsia="標楷體" w:hAnsi="標楷體"/>
          <w:szCs w:val="24"/>
        </w:rPr>
        <w:t>1</w:t>
      </w:r>
      <w:r w:rsidRPr="00D25361">
        <w:rPr>
          <w:rFonts w:ascii="標楷體" w:eastAsia="標楷體" w:hAnsi="標楷體" w:hint="eastAsia"/>
          <w:szCs w:val="24"/>
        </w:rPr>
        <w:t>項之「未經裁處」有別，從而，是類情形實不應藉由過渡條款而有本法第</w:t>
      </w:r>
      <w:r w:rsidRPr="00D25361">
        <w:rPr>
          <w:rFonts w:ascii="標楷體" w:eastAsia="標楷體" w:hAnsi="標楷體"/>
          <w:szCs w:val="24"/>
        </w:rPr>
        <w:t>5</w:t>
      </w:r>
      <w:r w:rsidRPr="00D25361">
        <w:rPr>
          <w:rFonts w:ascii="標楷體" w:eastAsia="標楷體" w:hAnsi="標楷體" w:hint="eastAsia"/>
          <w:szCs w:val="24"/>
        </w:rPr>
        <w:t>條從新從輕規定之適用。</w:t>
      </w:r>
    </w:p>
    <w:p w:rsidR="00FD3F0A" w:rsidRPr="00D25361" w:rsidRDefault="00FD3F0A" w:rsidP="006559A4">
      <w:pPr>
        <w:spacing w:line="420" w:lineRule="exact"/>
        <w:jc w:val="both"/>
        <w:rPr>
          <w:rFonts w:ascii="標楷體" w:eastAsia="標楷體" w:hAnsi="標楷體"/>
          <w:b/>
          <w:szCs w:val="24"/>
        </w:rPr>
      </w:pPr>
      <w:r w:rsidRPr="00D25361">
        <w:rPr>
          <w:rFonts w:ascii="標楷體" w:eastAsia="標楷體" w:hAnsi="標楷體" w:hint="eastAsia"/>
          <w:b/>
          <w:szCs w:val="24"/>
        </w:rPr>
        <w:t>柒、會議結論：</w:t>
      </w:r>
    </w:p>
    <w:p w:rsidR="00FD3F0A" w:rsidRPr="00D25361" w:rsidRDefault="00FD3F0A" w:rsidP="006559A4">
      <w:pPr>
        <w:spacing w:line="420" w:lineRule="exact"/>
        <w:ind w:firstLineChars="177" w:firstLine="425"/>
        <w:jc w:val="both"/>
        <w:rPr>
          <w:rFonts w:ascii="標楷體" w:eastAsia="標楷體" w:hAnsi="標楷體"/>
          <w:b/>
          <w:szCs w:val="24"/>
        </w:rPr>
      </w:pPr>
      <w:r w:rsidRPr="00D25361">
        <w:rPr>
          <w:rFonts w:ascii="標楷體" w:eastAsia="標楷體" w:hAnsi="標楷體" w:hint="eastAsia"/>
          <w:b/>
          <w:szCs w:val="24"/>
        </w:rPr>
        <w:t>一、討論事項（一）：</w:t>
      </w:r>
    </w:p>
    <w:p w:rsidR="00FD3F0A" w:rsidRPr="00D25361" w:rsidRDefault="00FD3F0A" w:rsidP="006559A4">
      <w:pPr>
        <w:spacing w:line="420" w:lineRule="exact"/>
        <w:ind w:leftChars="177" w:left="1131" w:hangingChars="294" w:hanging="706"/>
        <w:jc w:val="both"/>
        <w:rPr>
          <w:rFonts w:ascii="標楷體" w:eastAsia="標楷體" w:hAnsi="標楷體"/>
          <w:szCs w:val="24"/>
        </w:rPr>
      </w:pPr>
      <w:r w:rsidRPr="00D25361">
        <w:rPr>
          <w:rFonts w:ascii="標楷體" w:eastAsia="標楷體" w:hAnsi="標楷體" w:hint="eastAsia"/>
          <w:szCs w:val="24"/>
        </w:rPr>
        <w:t>（一）行政罰法第</w:t>
      </w:r>
      <w:r w:rsidRPr="00D25361">
        <w:rPr>
          <w:rFonts w:ascii="標楷體" w:eastAsia="標楷體" w:hAnsi="標楷體"/>
          <w:szCs w:val="24"/>
        </w:rPr>
        <w:t xml:space="preserve">26 </w:t>
      </w:r>
      <w:r w:rsidRPr="00D25361">
        <w:rPr>
          <w:rFonts w:ascii="標楷體" w:eastAsia="標楷體" w:hAnsi="標楷體" w:hint="eastAsia"/>
          <w:szCs w:val="24"/>
        </w:rPr>
        <w:t>條揭示之一行為不二罰及刑事程序優先原則是否為憲法原則；或一般法律適用原則；或僅係法律規定之原則，學說容有不同見解，惟如其他特別行政法律欲以立法為一行為二罰之規定或排除刑事程序優先原則之適用，必須在符合比例原則、正當法律程序原則等憲法及行政法一般法律原則下，始得為之。</w:t>
      </w:r>
    </w:p>
    <w:p w:rsidR="00FD3F0A" w:rsidRPr="00D25361" w:rsidRDefault="00FD3F0A" w:rsidP="006559A4">
      <w:pPr>
        <w:spacing w:line="420" w:lineRule="exact"/>
        <w:ind w:leftChars="177" w:left="1131" w:hangingChars="294" w:hanging="706"/>
        <w:jc w:val="both"/>
        <w:rPr>
          <w:rFonts w:ascii="標楷體" w:eastAsia="標楷體" w:hAnsi="標楷體"/>
          <w:szCs w:val="24"/>
        </w:rPr>
      </w:pPr>
      <w:r w:rsidRPr="00D25361">
        <w:rPr>
          <w:rFonts w:ascii="標楷體" w:eastAsia="標楷體" w:hAnsi="標楷體" w:hint="eastAsia"/>
          <w:szCs w:val="24"/>
        </w:rPr>
        <w:t>（二）廢棄物清理法第</w:t>
      </w:r>
      <w:r w:rsidRPr="00D25361">
        <w:rPr>
          <w:rFonts w:ascii="標楷體" w:eastAsia="標楷體" w:hAnsi="標楷體"/>
          <w:szCs w:val="24"/>
        </w:rPr>
        <w:t xml:space="preserve">64 </w:t>
      </w:r>
      <w:r w:rsidRPr="00D25361">
        <w:rPr>
          <w:rFonts w:ascii="標楷體" w:eastAsia="標楷體" w:hAnsi="標楷體" w:hint="eastAsia"/>
          <w:szCs w:val="24"/>
        </w:rPr>
        <w:t>條因係行政罰法公布施行前之舊立法例，是否可解釋為係行政罰法第</w:t>
      </w:r>
      <w:r w:rsidRPr="00D25361">
        <w:rPr>
          <w:rFonts w:ascii="標楷體" w:eastAsia="標楷體" w:hAnsi="標楷體"/>
          <w:szCs w:val="24"/>
        </w:rPr>
        <w:t xml:space="preserve">26 </w:t>
      </w:r>
      <w:r w:rsidRPr="00D25361">
        <w:rPr>
          <w:rFonts w:ascii="標楷體" w:eastAsia="標楷體" w:hAnsi="標楷體" w:hint="eastAsia"/>
          <w:szCs w:val="24"/>
        </w:rPr>
        <w:t>條之特別規定？能否排除一行為不二罰之適用？如認該規定係行政罰法第</w:t>
      </w:r>
      <w:r w:rsidRPr="00D25361">
        <w:rPr>
          <w:rFonts w:ascii="標楷體" w:eastAsia="標楷體" w:hAnsi="標楷體"/>
          <w:szCs w:val="24"/>
        </w:rPr>
        <w:t xml:space="preserve">26 </w:t>
      </w:r>
      <w:r w:rsidRPr="00D25361">
        <w:rPr>
          <w:rFonts w:ascii="標楷體" w:eastAsia="標楷體" w:hAnsi="標楷體" w:hint="eastAsia"/>
          <w:szCs w:val="24"/>
        </w:rPr>
        <w:t>條之特別規定，是否合乎憲法原則；或是一般法律原則，宜由主管機關依上開結論（一），本於職權審慎解釋，如有必要亦應檢討修正。</w:t>
      </w:r>
    </w:p>
    <w:p w:rsidR="00FD3F0A" w:rsidRDefault="00FD3F0A" w:rsidP="006559A4">
      <w:pPr>
        <w:spacing w:line="420" w:lineRule="exact"/>
        <w:ind w:leftChars="177" w:left="761" w:hangingChars="140" w:hanging="336"/>
        <w:jc w:val="both"/>
        <w:rPr>
          <w:rFonts w:ascii="標楷體" w:eastAsia="標楷體" w:hAnsi="標楷體"/>
          <w:b/>
          <w:szCs w:val="24"/>
        </w:rPr>
      </w:pPr>
      <w:r w:rsidRPr="00D25361">
        <w:rPr>
          <w:rFonts w:ascii="標楷體" w:eastAsia="標楷體" w:hAnsi="標楷體" w:hint="eastAsia"/>
          <w:b/>
          <w:szCs w:val="24"/>
        </w:rPr>
        <w:t>二、討論事項（二）：</w:t>
      </w:r>
    </w:p>
    <w:p w:rsidR="00FD3F0A" w:rsidRPr="00D25361" w:rsidRDefault="00FD3F0A" w:rsidP="006559A4">
      <w:pPr>
        <w:spacing w:line="420" w:lineRule="exact"/>
        <w:ind w:leftChars="413" w:left="991" w:firstLineChars="200" w:firstLine="480"/>
        <w:jc w:val="both"/>
        <w:rPr>
          <w:rFonts w:ascii="標楷體" w:eastAsia="標楷體" w:hAnsi="標楷體"/>
          <w:b/>
          <w:szCs w:val="24"/>
        </w:rPr>
      </w:pPr>
      <w:r w:rsidRPr="00D25361">
        <w:rPr>
          <w:rFonts w:ascii="標楷體" w:eastAsia="標楷體" w:hAnsi="標楷體" w:hint="eastAsia"/>
          <w:szCs w:val="24"/>
        </w:rPr>
        <w:t>採甲說</w:t>
      </w:r>
      <w:r w:rsidRPr="00D25361">
        <w:rPr>
          <w:rFonts w:ascii="標楷體" w:eastAsia="標楷體" w:hAnsi="標楷體"/>
          <w:szCs w:val="24"/>
        </w:rPr>
        <w:t>—</w:t>
      </w:r>
      <w:r w:rsidRPr="00D25361">
        <w:rPr>
          <w:rFonts w:ascii="標楷體" w:eastAsia="標楷體" w:hAnsi="標楷體" w:hint="eastAsia"/>
          <w:szCs w:val="24"/>
        </w:rPr>
        <w:t>本法施行前違反行政法上義務之行為，行政機關雖已於本法施行前已為處罰，嗣後原裁罰處分，因行政救濟撤銷溯及失其效力，而應於本法施行後重為裁處，此時與未經裁處時相同，依本法第</w:t>
      </w:r>
      <w:r w:rsidRPr="00D25361">
        <w:rPr>
          <w:rFonts w:ascii="標楷體" w:eastAsia="標楷體" w:hAnsi="標楷體"/>
          <w:szCs w:val="24"/>
        </w:rPr>
        <w:t xml:space="preserve">45 </w:t>
      </w:r>
      <w:r w:rsidRPr="00D25361">
        <w:rPr>
          <w:rFonts w:ascii="標楷體" w:eastAsia="標楷體" w:hAnsi="標楷體" w:hint="eastAsia"/>
          <w:szCs w:val="24"/>
        </w:rPr>
        <w:t>條第</w:t>
      </w:r>
      <w:r w:rsidRPr="00D25361">
        <w:rPr>
          <w:rFonts w:ascii="標楷體" w:eastAsia="標楷體" w:hAnsi="標楷體"/>
          <w:szCs w:val="24"/>
        </w:rPr>
        <w:t xml:space="preserve">1 </w:t>
      </w:r>
      <w:r w:rsidRPr="00D25361">
        <w:rPr>
          <w:rFonts w:ascii="標楷體" w:eastAsia="標楷體" w:hAnsi="標楷體" w:hint="eastAsia"/>
          <w:szCs w:val="24"/>
        </w:rPr>
        <w:t>項規定，自有本法第</w:t>
      </w:r>
      <w:r w:rsidRPr="00D25361">
        <w:rPr>
          <w:rFonts w:ascii="標楷體" w:eastAsia="標楷體" w:hAnsi="標楷體"/>
          <w:szCs w:val="24"/>
        </w:rPr>
        <w:t xml:space="preserve">5 </w:t>
      </w:r>
      <w:r w:rsidRPr="00D25361">
        <w:rPr>
          <w:rFonts w:ascii="標楷體" w:eastAsia="標楷體" w:hAnsi="標楷體" w:hint="eastAsia"/>
          <w:szCs w:val="24"/>
        </w:rPr>
        <w:t>條從新從輕原則之適用。</w:t>
      </w:r>
    </w:p>
    <w:p w:rsidR="00FD3F0A" w:rsidRDefault="00FD3F0A" w:rsidP="006559A4">
      <w:pPr>
        <w:spacing w:line="420" w:lineRule="exact"/>
        <w:jc w:val="both"/>
        <w:rPr>
          <w:rFonts w:ascii="標楷體" w:eastAsia="標楷體" w:hAnsi="標楷體"/>
          <w:b/>
          <w:szCs w:val="24"/>
        </w:rPr>
      </w:pPr>
      <w:r>
        <w:rPr>
          <w:rFonts w:ascii="標楷體" w:eastAsia="標楷體" w:hAnsi="標楷體" w:hint="eastAsia"/>
          <w:b/>
          <w:szCs w:val="24"/>
        </w:rPr>
        <w:t>捌</w:t>
      </w:r>
      <w:r w:rsidRPr="00D25361">
        <w:rPr>
          <w:rFonts w:ascii="標楷體" w:eastAsia="標楷體" w:hAnsi="標楷體" w:hint="eastAsia"/>
          <w:b/>
          <w:szCs w:val="24"/>
        </w:rPr>
        <w:t>、散會（</w:t>
      </w:r>
      <w:r w:rsidRPr="00D25361">
        <w:rPr>
          <w:rFonts w:ascii="標楷體" w:eastAsia="標楷體" w:hAnsi="標楷體"/>
          <w:b/>
          <w:bCs/>
          <w:szCs w:val="24"/>
        </w:rPr>
        <w:t xml:space="preserve">12 </w:t>
      </w:r>
      <w:r w:rsidRPr="00D25361">
        <w:rPr>
          <w:rFonts w:ascii="標楷體" w:eastAsia="標楷體" w:hAnsi="標楷體" w:hint="eastAsia"/>
          <w:b/>
          <w:szCs w:val="24"/>
        </w:rPr>
        <w:t>時</w:t>
      </w:r>
      <w:r w:rsidRPr="00D25361">
        <w:rPr>
          <w:rFonts w:ascii="標楷體" w:eastAsia="標楷體" w:hAnsi="標楷體"/>
          <w:b/>
          <w:bCs/>
          <w:szCs w:val="24"/>
        </w:rPr>
        <w:t xml:space="preserve">05 </w:t>
      </w:r>
      <w:r w:rsidRPr="00D25361">
        <w:rPr>
          <w:rFonts w:ascii="標楷體" w:eastAsia="標楷體" w:hAnsi="標楷體" w:hint="eastAsia"/>
          <w:b/>
          <w:szCs w:val="24"/>
        </w:rPr>
        <w:t>分）。</w:t>
      </w:r>
    </w:p>
    <w:p w:rsidR="00FD3F0A" w:rsidRDefault="00FD3F0A" w:rsidP="006559A4">
      <w:pPr>
        <w:spacing w:line="420" w:lineRule="exact"/>
        <w:jc w:val="both"/>
        <w:rPr>
          <w:rFonts w:ascii="標楷體" w:eastAsia="標楷體" w:hAnsi="標楷體"/>
          <w:b/>
          <w:szCs w:val="24"/>
        </w:rPr>
      </w:pPr>
    </w:p>
    <w:p w:rsidR="00FD3F0A" w:rsidRPr="00D25361" w:rsidRDefault="00FD3F0A" w:rsidP="006559A4">
      <w:pPr>
        <w:spacing w:line="420" w:lineRule="exact"/>
        <w:jc w:val="both"/>
        <w:rPr>
          <w:rFonts w:ascii="標楷體" w:eastAsia="標楷體" w:hAnsi="標楷體"/>
          <w:b/>
          <w:szCs w:val="24"/>
        </w:rPr>
      </w:pPr>
    </w:p>
    <w:p w:rsidR="00FD3F0A" w:rsidRPr="00D25361" w:rsidRDefault="00FD3F0A" w:rsidP="006559A4">
      <w:pPr>
        <w:spacing w:line="420" w:lineRule="exact"/>
        <w:ind w:leftChars="1700" w:left="4080"/>
        <w:jc w:val="both"/>
        <w:rPr>
          <w:rFonts w:ascii="標楷體" w:eastAsia="標楷體" w:hAnsi="標楷體"/>
          <w:szCs w:val="24"/>
        </w:rPr>
      </w:pPr>
      <w:r w:rsidRPr="00D25361">
        <w:rPr>
          <w:rFonts w:ascii="標楷體" w:eastAsia="標楷體" w:hAnsi="標楷體" w:hint="eastAsia"/>
          <w:szCs w:val="24"/>
        </w:rPr>
        <w:t>主席：朱楠</w:t>
      </w:r>
    </w:p>
    <w:p w:rsidR="00FD3F0A" w:rsidRPr="00D25361" w:rsidRDefault="00FD3F0A" w:rsidP="006559A4">
      <w:pPr>
        <w:spacing w:line="420" w:lineRule="exact"/>
        <w:ind w:leftChars="1700" w:left="4080"/>
        <w:jc w:val="both"/>
        <w:rPr>
          <w:rFonts w:ascii="標楷體" w:eastAsia="標楷體" w:hAnsi="標楷體"/>
          <w:szCs w:val="24"/>
        </w:rPr>
      </w:pPr>
      <w:r w:rsidRPr="00D25361">
        <w:rPr>
          <w:rFonts w:ascii="標楷體" w:eastAsia="標楷體" w:hAnsi="標楷體" w:hint="eastAsia"/>
          <w:szCs w:val="24"/>
        </w:rPr>
        <w:t>紀錄：方華香</w:t>
      </w:r>
    </w:p>
    <w:p w:rsidR="00FD3F0A" w:rsidRPr="00D25361" w:rsidRDefault="00FD3F0A" w:rsidP="006559A4">
      <w:pPr>
        <w:spacing w:line="420" w:lineRule="exact"/>
        <w:ind w:firstLineChars="2000" w:firstLine="4800"/>
        <w:jc w:val="both"/>
        <w:rPr>
          <w:rFonts w:ascii="標楷體" w:eastAsia="標楷體" w:hAnsi="標楷體"/>
          <w:szCs w:val="24"/>
        </w:rPr>
      </w:pPr>
      <w:r w:rsidRPr="00D25361">
        <w:rPr>
          <w:rFonts w:ascii="標楷體" w:eastAsia="標楷體" w:hAnsi="標楷體" w:hint="eastAsia"/>
          <w:szCs w:val="24"/>
        </w:rPr>
        <w:t>陳忠光</w:t>
      </w:r>
    </w:p>
    <w:p w:rsidR="00FD3F0A" w:rsidRPr="00D25361" w:rsidRDefault="00FD3F0A" w:rsidP="006559A4">
      <w:pPr>
        <w:spacing w:line="420" w:lineRule="exact"/>
        <w:ind w:leftChars="2067" w:left="4961"/>
        <w:jc w:val="both"/>
        <w:rPr>
          <w:rFonts w:ascii="標楷體" w:eastAsia="標楷體" w:hAnsi="標楷體"/>
          <w:szCs w:val="24"/>
        </w:rPr>
      </w:pPr>
    </w:p>
    <w:p w:rsidR="00FD3F0A" w:rsidRPr="006559A4" w:rsidRDefault="00FD3F0A" w:rsidP="006559A4">
      <w:pPr>
        <w:rPr>
          <w:szCs w:val="24"/>
        </w:rPr>
      </w:pPr>
    </w:p>
    <w:sectPr w:rsidR="00FD3F0A" w:rsidRPr="006559A4" w:rsidSect="005C349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F0A" w:rsidRDefault="00FD3F0A" w:rsidP="00645CB0">
      <w:r>
        <w:separator/>
      </w:r>
    </w:p>
  </w:endnote>
  <w:endnote w:type="continuationSeparator" w:id="0">
    <w:p w:rsidR="00FD3F0A" w:rsidRDefault="00FD3F0A" w:rsidP="00645CB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0A" w:rsidRDefault="00FD3F0A">
    <w:pPr>
      <w:pStyle w:val="Footer"/>
      <w:jc w:val="center"/>
    </w:pPr>
    <w:fldSimple w:instr=" PAGE   \* MERGEFORMAT ">
      <w:r w:rsidRPr="0006349E">
        <w:rPr>
          <w:noProof/>
          <w:lang w:val="zh-TW"/>
        </w:rPr>
        <w:t>5</w:t>
      </w:r>
    </w:fldSimple>
  </w:p>
  <w:p w:rsidR="00FD3F0A" w:rsidRDefault="00FD3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F0A" w:rsidRDefault="00FD3F0A" w:rsidP="00645CB0">
      <w:r>
        <w:separator/>
      </w:r>
    </w:p>
  </w:footnote>
  <w:footnote w:type="continuationSeparator" w:id="0">
    <w:p w:rsidR="00FD3F0A" w:rsidRDefault="00FD3F0A" w:rsidP="00645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23B86"/>
    <w:multiLevelType w:val="hybridMultilevel"/>
    <w:tmpl w:val="BB1A5080"/>
    <w:lvl w:ilvl="0" w:tplc="EA4CFB84">
      <w:start w:val="1"/>
      <w:numFmt w:val="taiwaneseCountingThousand"/>
      <w:lvlText w:val="%1、"/>
      <w:lvlJc w:val="left"/>
      <w:pPr>
        <w:tabs>
          <w:tab w:val="num" w:pos="435"/>
        </w:tabs>
        <w:ind w:left="435" w:hanging="432"/>
      </w:pPr>
      <w:rPr>
        <w:rFonts w:ascii="標楷體" w:eastAsia="標楷體" w:cs="標楷體" w:hint="default"/>
        <w:sz w:val="21"/>
      </w:rPr>
    </w:lvl>
    <w:lvl w:ilvl="1" w:tplc="04090019" w:tentative="1">
      <w:start w:val="1"/>
      <w:numFmt w:val="ideographTraditional"/>
      <w:lvlText w:val="%2、"/>
      <w:lvlJc w:val="left"/>
      <w:pPr>
        <w:tabs>
          <w:tab w:val="num" w:pos="963"/>
        </w:tabs>
        <w:ind w:left="963" w:hanging="480"/>
      </w:pPr>
      <w:rPr>
        <w:rFonts w:cs="Times New Roman"/>
      </w:rPr>
    </w:lvl>
    <w:lvl w:ilvl="2" w:tplc="0409001B" w:tentative="1">
      <w:start w:val="1"/>
      <w:numFmt w:val="lowerRoman"/>
      <w:lvlText w:val="%3."/>
      <w:lvlJc w:val="right"/>
      <w:pPr>
        <w:tabs>
          <w:tab w:val="num" w:pos="1443"/>
        </w:tabs>
        <w:ind w:left="1443" w:hanging="480"/>
      </w:pPr>
      <w:rPr>
        <w:rFonts w:cs="Times New Roman"/>
      </w:rPr>
    </w:lvl>
    <w:lvl w:ilvl="3" w:tplc="0409000F" w:tentative="1">
      <w:start w:val="1"/>
      <w:numFmt w:val="decimal"/>
      <w:lvlText w:val="%4."/>
      <w:lvlJc w:val="left"/>
      <w:pPr>
        <w:tabs>
          <w:tab w:val="num" w:pos="1923"/>
        </w:tabs>
        <w:ind w:left="1923" w:hanging="480"/>
      </w:pPr>
      <w:rPr>
        <w:rFonts w:cs="Times New Roman"/>
      </w:rPr>
    </w:lvl>
    <w:lvl w:ilvl="4" w:tplc="04090019" w:tentative="1">
      <w:start w:val="1"/>
      <w:numFmt w:val="ideographTraditional"/>
      <w:lvlText w:val="%5、"/>
      <w:lvlJc w:val="left"/>
      <w:pPr>
        <w:tabs>
          <w:tab w:val="num" w:pos="2403"/>
        </w:tabs>
        <w:ind w:left="2403" w:hanging="480"/>
      </w:pPr>
      <w:rPr>
        <w:rFonts w:cs="Times New Roman"/>
      </w:rPr>
    </w:lvl>
    <w:lvl w:ilvl="5" w:tplc="0409001B" w:tentative="1">
      <w:start w:val="1"/>
      <w:numFmt w:val="lowerRoman"/>
      <w:lvlText w:val="%6."/>
      <w:lvlJc w:val="right"/>
      <w:pPr>
        <w:tabs>
          <w:tab w:val="num" w:pos="2883"/>
        </w:tabs>
        <w:ind w:left="2883" w:hanging="480"/>
      </w:pPr>
      <w:rPr>
        <w:rFonts w:cs="Times New Roman"/>
      </w:rPr>
    </w:lvl>
    <w:lvl w:ilvl="6" w:tplc="0409000F" w:tentative="1">
      <w:start w:val="1"/>
      <w:numFmt w:val="decimal"/>
      <w:lvlText w:val="%7."/>
      <w:lvlJc w:val="left"/>
      <w:pPr>
        <w:tabs>
          <w:tab w:val="num" w:pos="3363"/>
        </w:tabs>
        <w:ind w:left="3363" w:hanging="480"/>
      </w:pPr>
      <w:rPr>
        <w:rFonts w:cs="Times New Roman"/>
      </w:rPr>
    </w:lvl>
    <w:lvl w:ilvl="7" w:tplc="04090019" w:tentative="1">
      <w:start w:val="1"/>
      <w:numFmt w:val="ideographTraditional"/>
      <w:lvlText w:val="%8、"/>
      <w:lvlJc w:val="left"/>
      <w:pPr>
        <w:tabs>
          <w:tab w:val="num" w:pos="3843"/>
        </w:tabs>
        <w:ind w:left="3843" w:hanging="480"/>
      </w:pPr>
      <w:rPr>
        <w:rFonts w:cs="Times New Roman"/>
      </w:rPr>
    </w:lvl>
    <w:lvl w:ilvl="8" w:tplc="0409001B" w:tentative="1">
      <w:start w:val="1"/>
      <w:numFmt w:val="lowerRoman"/>
      <w:lvlText w:val="%9."/>
      <w:lvlJc w:val="right"/>
      <w:pPr>
        <w:tabs>
          <w:tab w:val="num" w:pos="4323"/>
        </w:tabs>
        <w:ind w:left="4323"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C99"/>
    <w:rsid w:val="0006349E"/>
    <w:rsid w:val="000919C6"/>
    <w:rsid w:val="00106054"/>
    <w:rsid w:val="001621FF"/>
    <w:rsid w:val="002133C4"/>
    <w:rsid w:val="00290D42"/>
    <w:rsid w:val="00356C99"/>
    <w:rsid w:val="004062B0"/>
    <w:rsid w:val="004C4AA5"/>
    <w:rsid w:val="004F1335"/>
    <w:rsid w:val="004F146A"/>
    <w:rsid w:val="005C349A"/>
    <w:rsid w:val="00645CB0"/>
    <w:rsid w:val="006559A4"/>
    <w:rsid w:val="006D6C2A"/>
    <w:rsid w:val="006F1CAF"/>
    <w:rsid w:val="007D6A9E"/>
    <w:rsid w:val="00810545"/>
    <w:rsid w:val="00885184"/>
    <w:rsid w:val="00C76A7A"/>
    <w:rsid w:val="00D1347E"/>
    <w:rsid w:val="00D25361"/>
    <w:rsid w:val="00DC0A01"/>
    <w:rsid w:val="00E60A39"/>
    <w:rsid w:val="00E9155C"/>
    <w:rsid w:val="00FD3F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B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文"/>
    <w:uiPriority w:val="99"/>
    <w:rsid w:val="00645CB0"/>
    <w:pPr>
      <w:adjustRightInd w:val="0"/>
      <w:snapToGrid w:val="0"/>
      <w:spacing w:line="440" w:lineRule="exact"/>
      <w:ind w:leftChars="250" w:left="250"/>
      <w:jc w:val="both"/>
    </w:pPr>
    <w:rPr>
      <w:rFonts w:ascii="Times New Roman" w:eastAsia="標楷體" w:hAnsi="Times New Roman"/>
      <w:kern w:val="0"/>
      <w:sz w:val="28"/>
      <w:szCs w:val="20"/>
    </w:rPr>
  </w:style>
  <w:style w:type="paragraph" w:customStyle="1" w:styleId="a0">
    <w:name w:val="壹"/>
    <w:uiPriority w:val="99"/>
    <w:rsid w:val="00645CB0"/>
    <w:pPr>
      <w:adjustRightInd w:val="0"/>
      <w:snapToGrid w:val="0"/>
      <w:spacing w:beforeLines="75" w:afterLines="25" w:line="440" w:lineRule="exact"/>
      <w:jc w:val="both"/>
    </w:pPr>
    <w:rPr>
      <w:rFonts w:ascii="Times New Roman" w:eastAsia="標楷體" w:hAnsi="Times New Roman"/>
      <w:b/>
      <w:kern w:val="0"/>
      <w:sz w:val="30"/>
      <w:szCs w:val="20"/>
    </w:rPr>
  </w:style>
  <w:style w:type="paragraph" w:customStyle="1" w:styleId="a1">
    <w:name w:val="一、"/>
    <w:basedOn w:val="a"/>
    <w:uiPriority w:val="99"/>
    <w:rsid w:val="00645CB0"/>
    <w:pPr>
      <w:ind w:leftChars="370" w:left="570" w:hangingChars="200" w:hanging="200"/>
    </w:pPr>
  </w:style>
  <w:style w:type="paragraph" w:styleId="FootnoteText">
    <w:name w:val="footnote text"/>
    <w:basedOn w:val="Normal"/>
    <w:link w:val="FootnoteTextChar"/>
    <w:uiPriority w:val="99"/>
    <w:rsid w:val="00645CB0"/>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45CB0"/>
    <w:rPr>
      <w:rFonts w:ascii="Times New Roman" w:eastAsia="新細明體" w:hAnsi="Times New Roman" w:cs="Times New Roman"/>
      <w:sz w:val="20"/>
      <w:szCs w:val="20"/>
    </w:rPr>
  </w:style>
  <w:style w:type="character" w:styleId="FootnoteReference">
    <w:name w:val="footnote reference"/>
    <w:basedOn w:val="DefaultParagraphFont"/>
    <w:uiPriority w:val="99"/>
    <w:semiHidden/>
    <w:rsid w:val="00645CB0"/>
    <w:rPr>
      <w:rFonts w:cs="Times New Roman"/>
      <w:vertAlign w:val="superscript"/>
    </w:rPr>
  </w:style>
  <w:style w:type="paragraph" w:styleId="Header">
    <w:name w:val="header"/>
    <w:basedOn w:val="Normal"/>
    <w:link w:val="HeaderChar"/>
    <w:uiPriority w:val="99"/>
    <w:semiHidden/>
    <w:rsid w:val="007D6A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7D6A9E"/>
    <w:rPr>
      <w:rFonts w:ascii="Calibri" w:eastAsia="新細明體" w:hAnsi="Calibri" w:cs="Times New Roman"/>
      <w:sz w:val="20"/>
      <w:szCs w:val="20"/>
    </w:rPr>
  </w:style>
  <w:style w:type="paragraph" w:styleId="Footer">
    <w:name w:val="footer"/>
    <w:basedOn w:val="Normal"/>
    <w:link w:val="FooterChar"/>
    <w:uiPriority w:val="99"/>
    <w:rsid w:val="007D6A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D6A9E"/>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529</Words>
  <Characters>3017</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法務部行政罰法諮詢小組</dc:title>
  <dc:subject/>
  <dc:creator>yun</dc:creator>
  <cp:keywords/>
  <dc:description/>
  <cp:lastModifiedBy>ycchang</cp:lastModifiedBy>
  <cp:revision>2</cp:revision>
  <dcterms:created xsi:type="dcterms:W3CDTF">2015-05-05T07:10:00Z</dcterms:created>
  <dcterms:modified xsi:type="dcterms:W3CDTF">2015-05-05T07:10:00Z</dcterms:modified>
</cp:coreProperties>
</file>