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FC" w:rsidRDefault="006D24FC" w:rsidP="007F735B">
      <w:pPr>
        <w:pStyle w:val="a"/>
        <w:widowControl w:val="0"/>
        <w:adjustRightInd/>
        <w:snapToGrid/>
        <w:spacing w:line="240" w:lineRule="auto"/>
        <w:ind w:leftChars="0" w:left="0"/>
        <w:jc w:val="center"/>
        <w:rPr>
          <w:b/>
          <w:sz w:val="44"/>
          <w:szCs w:val="44"/>
        </w:rPr>
      </w:pPr>
      <w:r w:rsidRPr="00D25361">
        <w:rPr>
          <w:rFonts w:ascii="標楷體" w:hAnsi="標楷體" w:hint="eastAsia"/>
          <w:b/>
          <w:sz w:val="44"/>
          <w:szCs w:val="44"/>
        </w:rPr>
        <w:t>法務部行政罰</w:t>
      </w:r>
      <w:r w:rsidRPr="00D25361">
        <w:rPr>
          <w:rFonts w:hint="eastAsia"/>
          <w:b/>
          <w:sz w:val="44"/>
          <w:szCs w:val="44"/>
        </w:rPr>
        <w:t>法諮詢小組</w:t>
      </w:r>
    </w:p>
    <w:p w:rsidR="006D24FC" w:rsidRDefault="006D24FC" w:rsidP="007F735B">
      <w:pPr>
        <w:pStyle w:val="a"/>
        <w:kinsoku w:val="0"/>
        <w:overflowPunct w:val="0"/>
        <w:spacing w:line="240" w:lineRule="auto"/>
        <w:ind w:leftChars="0" w:left="1"/>
        <w:jc w:val="center"/>
        <w:rPr>
          <w:b/>
          <w:sz w:val="44"/>
          <w:szCs w:val="44"/>
        </w:rPr>
      </w:pPr>
      <w:r w:rsidRPr="00D25361">
        <w:rPr>
          <w:rFonts w:hint="eastAsia"/>
          <w:b/>
          <w:sz w:val="44"/>
          <w:szCs w:val="44"/>
        </w:rPr>
        <w:t>第</w:t>
      </w:r>
      <w:r>
        <w:rPr>
          <w:b/>
          <w:sz w:val="44"/>
          <w:szCs w:val="44"/>
        </w:rPr>
        <w:t>5</w:t>
      </w:r>
      <w:r w:rsidRPr="00D25361">
        <w:rPr>
          <w:rFonts w:hint="eastAsia"/>
          <w:b/>
          <w:sz w:val="44"/>
          <w:szCs w:val="44"/>
        </w:rPr>
        <w:t>次</w:t>
      </w:r>
      <w:r w:rsidRPr="00D25361">
        <w:rPr>
          <w:rFonts w:hint="eastAsia"/>
          <w:b/>
          <w:spacing w:val="12"/>
          <w:sz w:val="44"/>
          <w:szCs w:val="44"/>
        </w:rPr>
        <w:t>會議紀</w:t>
      </w:r>
      <w:r w:rsidRPr="00D25361">
        <w:rPr>
          <w:rFonts w:hint="eastAsia"/>
          <w:b/>
          <w:sz w:val="44"/>
          <w:szCs w:val="44"/>
        </w:rPr>
        <w:t>錄</w:t>
      </w:r>
    </w:p>
    <w:p w:rsidR="006D24FC" w:rsidRPr="000369F4" w:rsidRDefault="006D24FC" w:rsidP="007F735B">
      <w:pPr>
        <w:pStyle w:val="a"/>
        <w:kinsoku w:val="0"/>
        <w:overflowPunct w:val="0"/>
        <w:spacing w:line="240" w:lineRule="auto"/>
        <w:ind w:leftChars="0" w:left="1"/>
        <w:jc w:val="center"/>
        <w:rPr>
          <w:b/>
          <w:sz w:val="16"/>
          <w:szCs w:val="16"/>
        </w:rPr>
      </w:pP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outlineLvl w:val="0"/>
        <w:rPr>
          <w:rFonts w:ascii="標楷體"/>
          <w:sz w:val="24"/>
          <w:szCs w:val="24"/>
        </w:rPr>
      </w:pPr>
      <w:r w:rsidRPr="00D25361">
        <w:rPr>
          <w:rFonts w:ascii="標楷體" w:hAnsi="標楷體" w:hint="eastAsia"/>
          <w:sz w:val="24"/>
          <w:szCs w:val="24"/>
        </w:rPr>
        <w:t>壹、時間﹕</w:t>
      </w:r>
      <w:r w:rsidRPr="00D25361">
        <w:rPr>
          <w:rFonts w:ascii="標楷體" w:hAnsi="標楷體"/>
          <w:sz w:val="24"/>
          <w:szCs w:val="24"/>
        </w:rPr>
        <w:t>95</w:t>
      </w:r>
      <w:r w:rsidRPr="00D25361">
        <w:rPr>
          <w:rFonts w:ascii="標楷體" w:hAnsi="標楷體" w:hint="eastAsia"/>
          <w:sz w:val="24"/>
          <w:szCs w:val="24"/>
        </w:rPr>
        <w:t>年</w:t>
      </w:r>
      <w:r w:rsidRPr="00D25361">
        <w:rPr>
          <w:rFonts w:ascii="標楷體" w:hAnsi="標楷體"/>
          <w:sz w:val="24"/>
          <w:szCs w:val="24"/>
        </w:rPr>
        <w:t>12</w:t>
      </w:r>
      <w:r w:rsidRPr="00D25361">
        <w:rPr>
          <w:rFonts w:ascii="標楷體" w:hAnsi="標楷體" w:hint="eastAsia"/>
          <w:sz w:val="24"/>
          <w:szCs w:val="24"/>
        </w:rPr>
        <w:t>月</w:t>
      </w:r>
      <w:r w:rsidRPr="00D25361">
        <w:rPr>
          <w:rFonts w:ascii="標楷體" w:hAnsi="標楷體"/>
          <w:sz w:val="24"/>
          <w:szCs w:val="24"/>
        </w:rPr>
        <w:t>22</w:t>
      </w:r>
      <w:r w:rsidRPr="00D25361">
        <w:rPr>
          <w:rFonts w:ascii="標楷體" w:hAnsi="標楷體" w:hint="eastAsia"/>
          <w:sz w:val="24"/>
          <w:szCs w:val="24"/>
        </w:rPr>
        <w:t>日（星期</w:t>
      </w:r>
      <w:r w:rsidRPr="00D25361">
        <w:rPr>
          <w:rFonts w:ascii="標楷體" w:hAnsi="標楷體"/>
          <w:sz w:val="24"/>
          <w:szCs w:val="24"/>
        </w:rPr>
        <w:t>5</w:t>
      </w:r>
      <w:r w:rsidRPr="00D25361">
        <w:rPr>
          <w:rFonts w:ascii="標楷體" w:hAnsi="標楷體" w:hint="eastAsia"/>
          <w:sz w:val="24"/>
          <w:szCs w:val="24"/>
        </w:rPr>
        <w:t>）下午</w:t>
      </w:r>
      <w:r w:rsidRPr="00D25361">
        <w:rPr>
          <w:rFonts w:ascii="標楷體" w:hAnsi="標楷體"/>
          <w:sz w:val="24"/>
          <w:szCs w:val="24"/>
        </w:rPr>
        <w:t>2</w:t>
      </w:r>
      <w:r w:rsidRPr="00D25361">
        <w:rPr>
          <w:rFonts w:ascii="標楷體" w:hAnsi="標楷體" w:hint="eastAsia"/>
          <w:sz w:val="24"/>
          <w:szCs w:val="24"/>
        </w:rPr>
        <w:t>時</w:t>
      </w:r>
      <w:r w:rsidRPr="00D25361">
        <w:rPr>
          <w:rFonts w:ascii="標楷體" w:hAnsi="標楷體"/>
          <w:sz w:val="24"/>
          <w:szCs w:val="24"/>
        </w:rPr>
        <w:t>30</w:t>
      </w:r>
      <w:r w:rsidRPr="00D25361">
        <w:rPr>
          <w:rFonts w:ascii="標楷體" w:hAnsi="標楷體" w:hint="eastAsia"/>
          <w:sz w:val="24"/>
          <w:szCs w:val="24"/>
        </w:rPr>
        <w:t>分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貳、地點：本部</w:t>
      </w:r>
      <w:r w:rsidRPr="00D25361">
        <w:rPr>
          <w:sz w:val="24"/>
          <w:szCs w:val="24"/>
        </w:rPr>
        <w:t>2</w:t>
      </w:r>
      <w:r w:rsidRPr="00D25361">
        <w:rPr>
          <w:rFonts w:hint="eastAsia"/>
          <w:sz w:val="24"/>
          <w:szCs w:val="24"/>
        </w:rPr>
        <w:t>樓簡報室</w:t>
      </w:r>
      <w:r w:rsidRPr="00D25361">
        <w:rPr>
          <w:rFonts w:ascii="標楷體"/>
          <w:sz w:val="24"/>
          <w:szCs w:val="24"/>
        </w:rPr>
        <w:tab/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參、主席：朱委員兼召集人楠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肆、出席人員：</w:t>
      </w:r>
      <w:r w:rsidRPr="00D25361">
        <w:rPr>
          <w:rFonts w:hint="eastAsia"/>
          <w:b w:val="0"/>
          <w:sz w:val="24"/>
          <w:szCs w:val="24"/>
        </w:rPr>
        <w:t>吳委員庚、</w:t>
      </w:r>
      <w:r w:rsidRPr="00D25361">
        <w:rPr>
          <w:rFonts w:ascii="標楷體" w:hAnsi="標楷體" w:hint="eastAsia"/>
          <w:b w:val="0"/>
          <w:sz w:val="24"/>
          <w:szCs w:val="24"/>
        </w:rPr>
        <w:t>胡委員方新、姜委員素娥、高委員秀真、張委員正勝、</w:t>
      </w:r>
      <w:r w:rsidRPr="00D25361">
        <w:rPr>
          <w:rFonts w:hint="eastAsia"/>
          <w:b w:val="0"/>
          <w:sz w:val="24"/>
          <w:szCs w:val="24"/>
        </w:rPr>
        <w:t>陳委員明堂、陳委員愛娥、曾委員華松、</w:t>
      </w:r>
      <w:r w:rsidRPr="00D25361">
        <w:rPr>
          <w:rFonts w:ascii="標楷體" w:hAnsi="標楷體" w:hint="eastAsia"/>
          <w:b w:val="0"/>
          <w:sz w:val="24"/>
          <w:szCs w:val="24"/>
        </w:rPr>
        <w:t>黃委員綠星、黃委員璽君、蔡委員震榮</w:t>
      </w:r>
      <w:r w:rsidRPr="00D25361">
        <w:rPr>
          <w:rFonts w:hint="eastAsia"/>
          <w:b w:val="0"/>
          <w:bCs/>
          <w:sz w:val="24"/>
          <w:szCs w:val="24"/>
        </w:rPr>
        <w:t>（以上諮詢委員依委員姓氏筆畫列序）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b w:val="0"/>
          <w:bCs/>
          <w:sz w:val="24"/>
          <w:szCs w:val="24"/>
        </w:rPr>
      </w:pPr>
      <w:r w:rsidRPr="00D25361">
        <w:rPr>
          <w:rFonts w:hint="eastAsia"/>
          <w:sz w:val="24"/>
          <w:szCs w:val="24"/>
        </w:rPr>
        <w:t>伍、列席人員：</w:t>
      </w:r>
      <w:r w:rsidRPr="00D25361">
        <w:rPr>
          <w:rFonts w:hint="eastAsia"/>
          <w:b w:val="0"/>
          <w:bCs/>
          <w:sz w:val="24"/>
          <w:szCs w:val="24"/>
        </w:rPr>
        <w:t>如後附簽到簿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陸、討論事項：</w:t>
      </w:r>
    </w:p>
    <w:p w:rsidR="006D24FC" w:rsidRPr="00D941DD" w:rsidRDefault="006D24FC" w:rsidP="007F735B">
      <w:pPr>
        <w:pStyle w:val="a0"/>
        <w:kinsoku w:val="0"/>
        <w:overflowPunct w:val="0"/>
        <w:snapToGrid/>
        <w:spacing w:beforeLines="0" w:afterLines="0" w:line="420" w:lineRule="exact"/>
        <w:ind w:leftChars="176" w:left="422" w:firstLineChars="60" w:firstLine="144"/>
        <w:jc w:val="left"/>
        <w:rPr>
          <w:rFonts w:ascii="標楷體"/>
          <w:sz w:val="24"/>
          <w:szCs w:val="24"/>
        </w:rPr>
      </w:pPr>
      <w:r w:rsidRPr="00D941DD">
        <w:rPr>
          <w:rFonts w:hint="eastAsia"/>
          <w:sz w:val="24"/>
          <w:szCs w:val="24"/>
        </w:rPr>
        <w:t>一</w:t>
      </w:r>
      <w:r w:rsidRPr="00D941DD">
        <w:rPr>
          <w:rFonts w:ascii="標楷體" w:hAnsi="標楷體" w:hint="eastAsia"/>
          <w:sz w:val="24"/>
          <w:szCs w:val="24"/>
        </w:rPr>
        <w:t>、問題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D25361">
        <w:rPr>
          <w:rFonts w:ascii="標楷體" w:eastAsia="標楷體" w:hAnsi="標楷體" w:hint="eastAsia"/>
          <w:szCs w:val="24"/>
        </w:rPr>
        <w:t>本諮詢小組第</w:t>
      </w:r>
      <w:r w:rsidRPr="00D25361">
        <w:rPr>
          <w:rFonts w:ascii="標楷體" w:eastAsia="標楷體" w:hAnsi="標楷體"/>
          <w:szCs w:val="24"/>
        </w:rPr>
        <w:t>1</w:t>
      </w:r>
      <w:r w:rsidRPr="00D25361">
        <w:rPr>
          <w:rFonts w:ascii="標楷體" w:eastAsia="標楷體" w:hAnsi="標楷體" w:hint="eastAsia"/>
          <w:szCs w:val="24"/>
        </w:rPr>
        <w:t>次會議結論：「緩起訴者乃附條件的不起訴處分，亦即是不起訴的一種，此觀諸刑事訴訟法第</w:t>
      </w:r>
      <w:r w:rsidRPr="00D25361">
        <w:rPr>
          <w:rFonts w:ascii="標楷體" w:eastAsia="標楷體" w:hAnsi="標楷體"/>
          <w:szCs w:val="24"/>
        </w:rPr>
        <w:t>256</w:t>
      </w:r>
      <w:r w:rsidRPr="00D25361">
        <w:rPr>
          <w:rFonts w:ascii="標楷體" w:eastAsia="標楷體" w:hAnsi="標楷體" w:hint="eastAsia"/>
          <w:szCs w:val="24"/>
        </w:rPr>
        <w:t>條規定自明，既為不起訴即依不起訴處理。檢察官為緩起訴處分時依刑事訴訟法第</w:t>
      </w:r>
      <w:r w:rsidRPr="00D25361">
        <w:rPr>
          <w:rFonts w:ascii="標楷體" w:eastAsia="標楷體" w:hAnsi="標楷體"/>
          <w:szCs w:val="24"/>
        </w:rPr>
        <w:t>253</w:t>
      </w:r>
      <w:r w:rsidRPr="00D25361">
        <w:rPr>
          <w:rFonts w:ascii="標楷體" w:eastAsia="標楷體" w:hAnsi="標楷體" w:hint="eastAsia"/>
          <w:szCs w:val="24"/>
        </w:rPr>
        <w:t>條之</w:t>
      </w:r>
      <w:r w:rsidRPr="00D25361">
        <w:rPr>
          <w:rFonts w:ascii="標楷體" w:eastAsia="標楷體" w:hAnsi="標楷體"/>
          <w:szCs w:val="24"/>
        </w:rPr>
        <w:t>2</w:t>
      </w:r>
      <w:r w:rsidRPr="00D25361">
        <w:rPr>
          <w:rFonts w:ascii="標楷體" w:eastAsia="標楷體" w:hAnsi="標楷體" w:hint="eastAsia"/>
          <w:szCs w:val="24"/>
        </w:rPr>
        <w:t>第</w:t>
      </w:r>
      <w:r w:rsidRPr="00D25361">
        <w:rPr>
          <w:rFonts w:ascii="標楷體" w:eastAsia="標楷體" w:hAnsi="標楷體"/>
          <w:szCs w:val="24"/>
        </w:rPr>
        <w:t>1</w:t>
      </w:r>
      <w:r w:rsidRPr="00D25361">
        <w:rPr>
          <w:rFonts w:ascii="標楷體" w:eastAsia="標楷體" w:hAnsi="標楷體" w:hint="eastAsia"/>
          <w:szCs w:val="24"/>
        </w:rPr>
        <w:t>項規定對被告所為之指示及課予之負擔，係一種特殊的處遇措施，並非刑罰。因此，刑事案件經檢察官為緩起訴處分確定後，宜視同不起訴處分確定，依行政罰法第</w:t>
      </w:r>
      <w:r w:rsidRPr="00D25361">
        <w:rPr>
          <w:rFonts w:ascii="標楷體" w:eastAsia="標楷體" w:hAnsi="標楷體"/>
          <w:szCs w:val="24"/>
        </w:rPr>
        <w:t>26</w:t>
      </w:r>
      <w:r w:rsidRPr="00D25361">
        <w:rPr>
          <w:rFonts w:ascii="標楷體" w:eastAsia="標楷體" w:hAnsi="標楷體" w:hint="eastAsia"/>
          <w:szCs w:val="24"/>
        </w:rPr>
        <w:t>條第</w:t>
      </w:r>
      <w:r w:rsidRPr="00D25361">
        <w:rPr>
          <w:rFonts w:ascii="標楷體" w:eastAsia="標楷體" w:hAnsi="標楷體"/>
          <w:szCs w:val="24"/>
        </w:rPr>
        <w:t>2</w:t>
      </w:r>
      <w:r w:rsidRPr="00D25361">
        <w:rPr>
          <w:rFonts w:ascii="標楷體" w:eastAsia="標楷體" w:hAnsi="標楷體" w:hint="eastAsia"/>
          <w:szCs w:val="24"/>
        </w:rPr>
        <w:t>項規定，得依違反行政法上義務規定裁處之。」是否仍予維持？如仍予維持，行政機關裁處之時點究為「緩起訴處分確定時」或「緩起訴處分期間屆滿且未被撤銷時」？</w:t>
      </w:r>
    </w:p>
    <w:p w:rsidR="006D24FC" w:rsidRPr="00BF3C9A" w:rsidRDefault="006D24FC" w:rsidP="007F735B">
      <w:pPr>
        <w:pStyle w:val="a0"/>
        <w:kinsoku w:val="0"/>
        <w:overflowPunct w:val="0"/>
        <w:spacing w:beforeLines="0" w:afterLines="0" w:line="420" w:lineRule="exact"/>
        <w:ind w:leftChars="176" w:left="422" w:firstLineChars="60" w:firstLine="144"/>
        <w:jc w:val="left"/>
        <w:rPr>
          <w:sz w:val="24"/>
          <w:szCs w:val="24"/>
        </w:rPr>
      </w:pPr>
      <w:r w:rsidRPr="00BF3C9A">
        <w:rPr>
          <w:rFonts w:hint="eastAsia"/>
          <w:sz w:val="24"/>
          <w:szCs w:val="24"/>
        </w:rPr>
        <w:t>二、背景說明及</w:t>
      </w:r>
      <w:r>
        <w:rPr>
          <w:rFonts w:hint="eastAsia"/>
          <w:sz w:val="24"/>
          <w:szCs w:val="24"/>
        </w:rPr>
        <w:t>問題</w:t>
      </w:r>
      <w:r w:rsidRPr="00BF3C9A">
        <w:rPr>
          <w:rFonts w:hint="eastAsia"/>
          <w:sz w:val="24"/>
          <w:szCs w:val="24"/>
        </w:rPr>
        <w:t>爭點：</w:t>
      </w:r>
    </w:p>
    <w:p w:rsidR="006D24FC" w:rsidRPr="00BF3C9A" w:rsidRDefault="006D24FC" w:rsidP="00C11883">
      <w:pPr>
        <w:autoSpaceDE w:val="0"/>
        <w:autoSpaceDN w:val="0"/>
        <w:adjustRightInd w:val="0"/>
        <w:spacing w:line="420" w:lineRule="exact"/>
        <w:ind w:leftChars="236" w:left="566" w:firstLineChars="215" w:firstLine="516"/>
        <w:jc w:val="both"/>
        <w:rPr>
          <w:rFonts w:ascii="標楷體" w:eastAsia="標楷體" w:hAnsi="標楷體"/>
          <w:szCs w:val="24"/>
        </w:rPr>
      </w:pPr>
      <w:r w:rsidRPr="00BF3C9A">
        <w:rPr>
          <w:rFonts w:ascii="標楷體" w:eastAsia="標楷體" w:hAnsi="標楷體" w:hint="eastAsia"/>
          <w:szCs w:val="24"/>
        </w:rPr>
        <w:t>行政罰法（以下簡稱本法）第</w:t>
      </w:r>
      <w:r w:rsidRPr="00BF3C9A">
        <w:rPr>
          <w:rFonts w:ascii="標楷體" w:eastAsia="標楷體" w:hAnsi="標楷體"/>
          <w:szCs w:val="24"/>
        </w:rPr>
        <w:t>26</w:t>
      </w:r>
      <w:r w:rsidRPr="00BF3C9A">
        <w:rPr>
          <w:rFonts w:ascii="標楷體" w:eastAsia="標楷體" w:hAnsi="標楷體" w:hint="eastAsia"/>
          <w:szCs w:val="24"/>
        </w:rPr>
        <w:t>條第</w:t>
      </w:r>
      <w:r w:rsidRPr="00BF3C9A">
        <w:rPr>
          <w:rFonts w:ascii="標楷體" w:eastAsia="標楷體" w:hAnsi="標楷體"/>
          <w:szCs w:val="24"/>
        </w:rPr>
        <w:t>1</w:t>
      </w:r>
      <w:r w:rsidRPr="00BF3C9A">
        <w:rPr>
          <w:rFonts w:ascii="標楷體" w:eastAsia="標楷體" w:hAnsi="標楷體" w:hint="eastAsia"/>
          <w:szCs w:val="24"/>
        </w:rPr>
        <w:t>項前段及第</w:t>
      </w:r>
      <w:r w:rsidRPr="00BF3C9A">
        <w:rPr>
          <w:rFonts w:ascii="標楷體" w:eastAsia="標楷體" w:hAnsi="標楷體"/>
          <w:szCs w:val="24"/>
        </w:rPr>
        <w:t>2</w:t>
      </w:r>
      <w:r w:rsidRPr="00BF3C9A">
        <w:rPr>
          <w:rFonts w:ascii="標楷體" w:eastAsia="標楷體" w:hAnsi="標楷體" w:hint="eastAsia"/>
          <w:szCs w:val="24"/>
        </w:rPr>
        <w:t>項規定：「一行為同時觸犯刑事法律及違反行政法上義務規定者，依刑事法律處罰之。（第</w:t>
      </w:r>
      <w:r w:rsidRPr="00BF3C9A">
        <w:rPr>
          <w:rFonts w:ascii="標楷體" w:eastAsia="標楷體" w:hAnsi="標楷體"/>
          <w:szCs w:val="24"/>
        </w:rPr>
        <w:t>1</w:t>
      </w:r>
      <w:r w:rsidRPr="00BF3C9A">
        <w:rPr>
          <w:rFonts w:ascii="標楷體" w:eastAsia="標楷體" w:hAnsi="標楷體" w:hint="eastAsia"/>
          <w:szCs w:val="24"/>
        </w:rPr>
        <w:t>項前段）前項行為如經不起訴處分或為無罪、免訴、不受理、不付審理之裁判確定者，得依違反行政法上義務規定裁處之。（第</w:t>
      </w:r>
      <w:r w:rsidRPr="00BF3C9A">
        <w:rPr>
          <w:rFonts w:ascii="標楷體" w:eastAsia="標楷體" w:hAnsi="標楷體"/>
          <w:szCs w:val="24"/>
        </w:rPr>
        <w:t>2</w:t>
      </w:r>
      <w:r w:rsidRPr="00BF3C9A">
        <w:rPr>
          <w:rFonts w:ascii="標楷體" w:eastAsia="標楷體" w:hAnsi="標楷體" w:hint="eastAsia"/>
          <w:szCs w:val="24"/>
        </w:rPr>
        <w:t>項）」因上開規定未列有「緩起訴處分」，則檢察官為緩起訴處分後，行政機關得否再處以行政罰鍰，有無違反一行為不二罰原則，滋生疑義，故本諮詢小組第</w:t>
      </w:r>
      <w:r w:rsidRPr="00BF3C9A">
        <w:rPr>
          <w:rFonts w:ascii="標楷體" w:eastAsia="標楷體" w:hAnsi="標楷體"/>
          <w:szCs w:val="24"/>
        </w:rPr>
        <w:t>1</w:t>
      </w:r>
      <w:r w:rsidRPr="00BF3C9A">
        <w:rPr>
          <w:rFonts w:ascii="標楷體" w:eastAsia="標楷體" w:hAnsi="標楷體" w:hint="eastAsia"/>
          <w:szCs w:val="24"/>
        </w:rPr>
        <w:t>次會議即針對上開疑義進行討論並獲致具體結論略以：「刑事案件經檢察官為緩起訴處分確定後，宜視同不起訴處分確定」（如附件</w:t>
      </w:r>
      <w:r w:rsidRPr="00BF3C9A">
        <w:rPr>
          <w:rFonts w:ascii="標楷體" w:eastAsia="標楷體" w:hAnsi="標楷體"/>
          <w:szCs w:val="24"/>
        </w:rPr>
        <w:t>1</w:t>
      </w:r>
      <w:r w:rsidRPr="00BF3C9A">
        <w:rPr>
          <w:rFonts w:ascii="標楷體" w:eastAsia="標楷體" w:hAnsi="標楷體" w:hint="eastAsia"/>
          <w:szCs w:val="24"/>
        </w:rPr>
        <w:t>）。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566" w:firstLineChars="215" w:firstLine="516"/>
        <w:jc w:val="both"/>
        <w:rPr>
          <w:rFonts w:ascii="標楷體" w:eastAsia="標楷體"/>
          <w:bCs/>
          <w:szCs w:val="24"/>
        </w:rPr>
      </w:pPr>
      <w:r w:rsidRPr="00BF3C9A">
        <w:rPr>
          <w:rFonts w:ascii="標楷體" w:eastAsia="標楷體" w:hAnsi="標楷體" w:hint="eastAsia"/>
          <w:szCs w:val="24"/>
        </w:rPr>
        <w:t>惟自本法施行以來，各地方法院有關酒駕聲明異議案件之裁定，對於本法第</w:t>
      </w:r>
      <w:r w:rsidRPr="00BF3C9A">
        <w:rPr>
          <w:rFonts w:ascii="標楷體" w:eastAsia="標楷體" w:hAnsi="標楷體"/>
          <w:szCs w:val="24"/>
        </w:rPr>
        <w:t>26</w:t>
      </w:r>
      <w:r w:rsidRPr="00BF3C9A">
        <w:rPr>
          <w:rFonts w:ascii="標楷體" w:eastAsia="標楷體" w:hAnsi="標楷體" w:hint="eastAsia"/>
          <w:szCs w:val="24"/>
        </w:rPr>
        <w:t>條所定案件經檢察官為緩起訴處分確定後，行政機關得否處以罰鍰，意見不一，經查各地方法院自</w:t>
      </w:r>
      <w:r w:rsidRPr="00BF3C9A">
        <w:rPr>
          <w:rFonts w:ascii="標楷體" w:eastAsia="標楷體" w:hAnsi="標楷體"/>
          <w:szCs w:val="24"/>
        </w:rPr>
        <w:t>95</w:t>
      </w:r>
      <w:r w:rsidRPr="00BF3C9A">
        <w:rPr>
          <w:rFonts w:ascii="標楷體" w:eastAsia="標楷體" w:hAnsi="標楷體" w:hint="eastAsia"/>
          <w:szCs w:val="24"/>
        </w:rPr>
        <w:t>年</w:t>
      </w:r>
      <w:r w:rsidRPr="00BF3C9A">
        <w:rPr>
          <w:rFonts w:ascii="標楷體" w:eastAsia="標楷體" w:hAnsi="標楷體"/>
          <w:szCs w:val="24"/>
        </w:rPr>
        <w:t>2</w:t>
      </w:r>
      <w:r w:rsidRPr="00BF3C9A">
        <w:rPr>
          <w:rFonts w:ascii="標楷體" w:eastAsia="標楷體" w:hAnsi="標楷體" w:hint="eastAsia"/>
          <w:szCs w:val="24"/>
        </w:rPr>
        <w:t>月</w:t>
      </w:r>
      <w:r w:rsidRPr="00BF3C9A">
        <w:rPr>
          <w:rFonts w:ascii="標楷體" w:eastAsia="標楷體" w:hAnsi="標楷體"/>
          <w:szCs w:val="24"/>
        </w:rPr>
        <w:t>5</w:t>
      </w:r>
      <w:r w:rsidRPr="00BF3C9A">
        <w:rPr>
          <w:rFonts w:ascii="標楷體" w:eastAsia="標楷體" w:hAnsi="標楷體" w:hint="eastAsia"/>
          <w:szCs w:val="24"/>
        </w:rPr>
        <w:t>日至</w:t>
      </w:r>
      <w:r w:rsidRPr="00BF3C9A">
        <w:rPr>
          <w:rFonts w:ascii="標楷體" w:eastAsia="標楷體" w:hAnsi="標楷體"/>
          <w:szCs w:val="24"/>
        </w:rPr>
        <w:t>11</w:t>
      </w:r>
      <w:r w:rsidRPr="00BF3C9A">
        <w:rPr>
          <w:rFonts w:ascii="標楷體" w:eastAsia="標楷體" w:hAnsi="標楷體" w:hint="eastAsia"/>
          <w:szCs w:val="24"/>
        </w:rPr>
        <w:t>月</w:t>
      </w:r>
      <w:r w:rsidRPr="00BF3C9A">
        <w:rPr>
          <w:rFonts w:ascii="標楷體" w:eastAsia="標楷體" w:hAnsi="標楷體"/>
          <w:szCs w:val="24"/>
        </w:rPr>
        <w:t>30</w:t>
      </w:r>
      <w:r w:rsidRPr="00BF3C9A">
        <w:rPr>
          <w:rFonts w:ascii="標楷體" w:eastAsia="標楷體" w:hAnsi="標楷體" w:hint="eastAsia"/>
          <w:szCs w:val="24"/>
        </w:rPr>
        <w:t>日止有關上開案件之裁定共</w:t>
      </w:r>
      <w:r w:rsidRPr="00BF3C9A">
        <w:rPr>
          <w:rFonts w:ascii="標楷體" w:eastAsia="標楷體" w:hAnsi="標楷體"/>
          <w:szCs w:val="24"/>
        </w:rPr>
        <w:t>298</w:t>
      </w:r>
      <w:r w:rsidRPr="00BF3C9A">
        <w:rPr>
          <w:rFonts w:ascii="標楷體" w:eastAsia="標楷體" w:hAnsi="標楷體" w:hint="eastAsia"/>
          <w:szCs w:val="24"/>
        </w:rPr>
        <w:t>件，其等見解大致可區分有以下</w:t>
      </w:r>
      <w:r w:rsidRPr="00BF3C9A">
        <w:rPr>
          <w:rFonts w:ascii="標楷體" w:eastAsia="標楷體" w:hAnsi="標楷體"/>
          <w:szCs w:val="24"/>
        </w:rPr>
        <w:t>4</w:t>
      </w:r>
      <w:r w:rsidRPr="00BF3C9A">
        <w:rPr>
          <w:rFonts w:ascii="標楷體" w:eastAsia="標楷體" w:hAnsi="標楷體" w:hint="eastAsia"/>
          <w:szCs w:val="24"/>
        </w:rPr>
        <w:t>類：（一）緩起訴處分確定視同不起訴處分確定（</w:t>
      </w:r>
      <w:r w:rsidRPr="00BF3C9A">
        <w:rPr>
          <w:rFonts w:ascii="標楷體" w:eastAsia="標楷體" w:hAnsi="標楷體"/>
          <w:szCs w:val="24"/>
        </w:rPr>
        <w:t>19.8</w:t>
      </w:r>
      <w:r w:rsidRPr="00BF3C9A">
        <w:rPr>
          <w:rFonts w:ascii="標楷體" w:eastAsia="標楷體" w:hAnsi="標楷體" w:hint="eastAsia"/>
          <w:szCs w:val="24"/>
        </w:rPr>
        <w:t>％）（二）緩起訴處分期間屆滿且未經撤銷時，視同不起訴處分確定。（</w:t>
      </w:r>
      <w:r w:rsidRPr="00BF3C9A">
        <w:rPr>
          <w:rFonts w:ascii="標楷體" w:eastAsia="標楷體" w:hAnsi="標楷體"/>
          <w:szCs w:val="24"/>
        </w:rPr>
        <w:t>40.6</w:t>
      </w:r>
      <w:r w:rsidRPr="00BF3C9A">
        <w:rPr>
          <w:rFonts w:ascii="標楷體" w:eastAsia="標楷體" w:hAnsi="標楷體" w:hint="eastAsia"/>
          <w:szCs w:val="24"/>
        </w:rPr>
        <w:t>％）；（三）緩起訴處分為實質刑事處罰（</w:t>
      </w:r>
      <w:r w:rsidRPr="00BF3C9A">
        <w:rPr>
          <w:rFonts w:ascii="標楷體" w:eastAsia="標楷體" w:hAnsi="標楷體"/>
          <w:szCs w:val="24"/>
        </w:rPr>
        <w:t>37.6</w:t>
      </w:r>
      <w:r w:rsidRPr="00BF3C9A">
        <w:rPr>
          <w:rFonts w:ascii="標楷體" w:eastAsia="標楷體" w:hAnsi="標楷體" w:hint="eastAsia"/>
          <w:szCs w:val="24"/>
        </w:rPr>
        <w:t>％）。（</w:t>
      </w:r>
      <w:r w:rsidRPr="00BF3C9A">
        <w:rPr>
          <w:rFonts w:ascii="標楷體" w:eastAsia="標楷體" w:hAnsi="標楷體"/>
          <w:szCs w:val="24"/>
        </w:rPr>
        <w:t>4</w:t>
      </w:r>
      <w:r w:rsidRPr="00BF3C9A">
        <w:rPr>
          <w:rFonts w:ascii="標楷體" w:eastAsia="標楷體" w:hAnsi="標楷體" w:hint="eastAsia"/>
          <w:szCs w:val="24"/>
        </w:rPr>
        <w:t>）其他（</w:t>
      </w:r>
      <w:r w:rsidRPr="00BF3C9A">
        <w:rPr>
          <w:rFonts w:ascii="標楷體" w:eastAsia="標楷體" w:hAnsi="標楷體"/>
          <w:szCs w:val="24"/>
        </w:rPr>
        <w:t>2</w:t>
      </w:r>
      <w:r w:rsidRPr="00BF3C9A">
        <w:rPr>
          <w:rFonts w:ascii="標楷體" w:eastAsia="標楷體" w:hAnsi="標楷體" w:hint="eastAsia"/>
          <w:szCs w:val="24"/>
        </w:rPr>
        <w:t>％）（如附件</w:t>
      </w:r>
      <w:r w:rsidRPr="00BF3C9A">
        <w:rPr>
          <w:rFonts w:ascii="標楷體" w:eastAsia="標楷體" w:hAnsi="標楷體"/>
          <w:szCs w:val="24"/>
        </w:rPr>
        <w:t>2</w:t>
      </w:r>
      <w:r w:rsidRPr="00BF3C9A">
        <w:rPr>
          <w:rFonts w:ascii="標楷體" w:eastAsia="標楷體" w:hAnsi="標楷體" w:hint="eastAsia"/>
          <w:szCs w:val="24"/>
        </w:rPr>
        <w:t>）。而上開第（一）類及第（二）類</w:t>
      </w:r>
      <w:r w:rsidRPr="00D25361">
        <w:rPr>
          <w:rFonts w:ascii="標楷體" w:eastAsia="標楷體" w:hAnsi="標楷體" w:hint="eastAsia"/>
          <w:szCs w:val="24"/>
        </w:rPr>
        <w:t>均認為緩起訴處分確定視同不起訴處分確定，惟對於行政機關得裁處之時間點見解不同，第（一）類認為緩起訴處分確定行政機關即得處罰；第（二）類則認為應俟緩起訴處分期間屆滿且未經撤銷時，行政機關始得處罰。現</w:t>
      </w:r>
      <w:r w:rsidRPr="00BF3C9A">
        <w:rPr>
          <w:rFonts w:ascii="標楷體" w:eastAsia="標楷體" w:hAnsi="標楷體" w:hint="eastAsia"/>
          <w:szCs w:val="24"/>
        </w:rPr>
        <w:t>因上開裁定見解分歧，致行政機關無所適從，爰再召開本次會議續予討論。</w:t>
      </w:r>
    </w:p>
    <w:p w:rsidR="006D24FC" w:rsidRPr="00BF3C9A" w:rsidRDefault="006D24FC" w:rsidP="007F735B">
      <w:pPr>
        <w:pStyle w:val="a0"/>
        <w:kinsoku w:val="0"/>
        <w:overflowPunct w:val="0"/>
        <w:snapToGrid/>
        <w:spacing w:beforeLines="0" w:afterLines="0" w:line="420" w:lineRule="exact"/>
        <w:ind w:leftChars="176" w:left="422" w:firstLineChars="60" w:firstLine="144"/>
        <w:jc w:val="left"/>
        <w:rPr>
          <w:sz w:val="24"/>
          <w:szCs w:val="24"/>
        </w:rPr>
      </w:pPr>
      <w:r w:rsidRPr="00BF3C9A">
        <w:rPr>
          <w:rFonts w:hint="eastAsia"/>
          <w:sz w:val="24"/>
          <w:szCs w:val="24"/>
        </w:rPr>
        <w:t>三、法律事務司初步研究意見：</w:t>
      </w:r>
    </w:p>
    <w:p w:rsidR="006D24FC" w:rsidRPr="00D25361" w:rsidRDefault="006D24FC" w:rsidP="00C11883">
      <w:pPr>
        <w:autoSpaceDE w:val="0"/>
        <w:autoSpaceDN w:val="0"/>
        <w:adjustRightInd w:val="0"/>
        <w:snapToGrid w:val="0"/>
        <w:spacing w:line="420" w:lineRule="exact"/>
        <w:ind w:firstLineChars="236" w:firstLine="567"/>
        <w:jc w:val="both"/>
        <w:rPr>
          <w:rFonts w:ascii="標楷體" w:eastAsia="標楷體"/>
          <w:b/>
          <w:bCs/>
          <w:szCs w:val="24"/>
        </w:rPr>
      </w:pPr>
      <w:r w:rsidRPr="00D25361">
        <w:rPr>
          <w:rFonts w:ascii="標楷體" w:eastAsia="標楷體" w:hint="eastAsia"/>
          <w:b/>
          <w:bCs/>
          <w:szCs w:val="24"/>
        </w:rPr>
        <w:t>甲說（</w:t>
      </w:r>
      <w:r w:rsidRPr="00D25361">
        <w:rPr>
          <w:rFonts w:ascii="標楷體" w:eastAsia="標楷體" w:hAnsi="MS Sans Serif" w:hint="eastAsia"/>
          <w:b/>
          <w:color w:val="000000"/>
          <w:kern w:val="0"/>
          <w:szCs w:val="24"/>
        </w:rPr>
        <w:t>緩起訴處分確定視同不起訴處分確定</w:t>
      </w:r>
      <w:r w:rsidRPr="00D25361">
        <w:rPr>
          <w:rFonts w:ascii="標楷體" w:eastAsia="標楷體" w:hint="eastAsia"/>
          <w:b/>
          <w:bCs/>
          <w:szCs w:val="24"/>
        </w:rPr>
        <w:t>）：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/>
          <w:szCs w:val="24"/>
        </w:rPr>
      </w:pPr>
      <w:r w:rsidRPr="00D25361">
        <w:rPr>
          <w:rFonts w:ascii="標楷體" w:eastAsia="標楷體" w:hint="eastAsia"/>
          <w:szCs w:val="24"/>
        </w:rPr>
        <w:t>【理由】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一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緩起訴處分可說是一種便宜不起訴處分，檢察官為緩起訴處分時依刑事訴訟法第</w:t>
      </w:r>
      <w:r w:rsidRPr="00D25361">
        <w:rPr>
          <w:rFonts w:ascii="標楷體" w:eastAsia="標楷體"/>
          <w:szCs w:val="24"/>
        </w:rPr>
        <w:t>253</w:t>
      </w:r>
      <w:r w:rsidRPr="00D25361">
        <w:rPr>
          <w:rFonts w:ascii="標楷體" w:eastAsia="標楷體" w:hint="eastAsia"/>
          <w:szCs w:val="24"/>
        </w:rPr>
        <w:t>條之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第</w:t>
      </w:r>
      <w:r w:rsidRPr="00D25361">
        <w:rPr>
          <w:rFonts w:ascii="標楷體" w:eastAsia="標楷體"/>
          <w:szCs w:val="24"/>
        </w:rPr>
        <w:t>1</w:t>
      </w:r>
      <w:r w:rsidRPr="00D25361">
        <w:rPr>
          <w:rFonts w:ascii="標楷體" w:eastAsia="標楷體" w:hint="eastAsia"/>
          <w:szCs w:val="24"/>
        </w:rPr>
        <w:t>項規定對被告所為之指示及課予之負擔，係一種特殊的處遇措施，並非刑罰。本法第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條之「依刑事法律」，應指依罪刑法定主義及刑事法律正當程序運作完成始足當之，就此而言，緩起訴處分應不是上開條文所指之「依刑事法律處罰」。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二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案件經緩起訴處分，刑事處罰尚未啟動，並未經法院判決有罪亦即未經刑事法律處罰，故自應比照不起訴處分效果，仍容由行政機關為行政罰。又如日後緩起訴處分遭撤銷，而啟動刑事處罰程序並受刑事處罰，則由裁罰機關撤銷原處分即可，並無一行為二罰之問題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>)</w:t>
      </w:r>
      <w:r w:rsidRPr="00BF3C9A">
        <w:rPr>
          <w:rFonts w:ascii="標楷體" w:eastAsia="標楷體" w:hint="eastAsia"/>
          <w:szCs w:val="24"/>
        </w:rPr>
        <w:t>檢察官為緩起訴處分時，並非均於處分中課予指示及負擔，可能視個案情形而未附任何指示或負擔，於此情形，當事人並未受有所謂實質處罰</w:t>
      </w:r>
      <w:r w:rsidRPr="00D25361">
        <w:rPr>
          <w:rFonts w:ascii="標楷體" w:eastAsia="標楷體" w:hint="eastAsia"/>
          <w:szCs w:val="24"/>
        </w:rPr>
        <w:t>。且法律解釋要明確，不宜就刑事訴訟法第</w:t>
      </w:r>
      <w:r w:rsidRPr="00D25361">
        <w:rPr>
          <w:rFonts w:ascii="標楷體" w:eastAsia="標楷體"/>
          <w:szCs w:val="24"/>
        </w:rPr>
        <w:t>253</w:t>
      </w:r>
      <w:r w:rsidRPr="00D25361">
        <w:rPr>
          <w:rFonts w:ascii="標楷體" w:eastAsia="標楷體" w:hint="eastAsia"/>
          <w:szCs w:val="24"/>
        </w:rPr>
        <w:t>條之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第</w:t>
      </w:r>
      <w:r w:rsidRPr="00D25361">
        <w:rPr>
          <w:rFonts w:ascii="標楷體" w:eastAsia="標楷體"/>
          <w:szCs w:val="24"/>
        </w:rPr>
        <w:t>1</w:t>
      </w:r>
      <w:r w:rsidRPr="00D25361">
        <w:rPr>
          <w:rFonts w:ascii="標楷體" w:eastAsia="標楷體" w:hint="eastAsia"/>
          <w:szCs w:val="24"/>
        </w:rPr>
        <w:t>項各款情形分別討論而割裂適用，蓋同為緩起訴，各款如有不同，如何面對質疑，亦有問題。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檢察官為緩起訴處分後，也有可能被撤銷而再行起訴，且原已繳納或支付之金額（或其他已履行負擔），依刑事訴訟法第</w:t>
      </w:r>
      <w:r w:rsidRPr="00D25361">
        <w:rPr>
          <w:rFonts w:ascii="標楷體" w:eastAsia="標楷體"/>
          <w:szCs w:val="24"/>
        </w:rPr>
        <w:t>253</w:t>
      </w:r>
      <w:r w:rsidRPr="00D25361">
        <w:rPr>
          <w:rFonts w:ascii="標楷體" w:eastAsia="標楷體" w:hint="eastAsia"/>
          <w:szCs w:val="24"/>
        </w:rPr>
        <w:t>之</w:t>
      </w:r>
      <w:r w:rsidRPr="00D25361">
        <w:rPr>
          <w:rFonts w:ascii="標楷體" w:eastAsia="標楷體"/>
          <w:szCs w:val="24"/>
        </w:rPr>
        <w:t>3</w:t>
      </w:r>
      <w:r w:rsidRPr="00D25361">
        <w:rPr>
          <w:rFonts w:ascii="標楷體" w:eastAsia="標楷體" w:hint="eastAsia"/>
          <w:szCs w:val="24"/>
        </w:rPr>
        <w:t>第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項規定不得請求返還或賠償，因此，如將緩起訴處分認為係實質之刑事處罰，而不得與行政罰之罰鍰併罰時，則於緩起訴處分被撤銷，且經起訴而判決有罪時，亦同樣產生一行為受有二次刑事處罰之問題。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綜上所述，刑事案件經檢察官為緩起訴處分確定後，宜視同不起訴處分確定，依行政罰法第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項規定，得依違反行政法上義務規定裁處之。</w:t>
      </w:r>
    </w:p>
    <w:p w:rsidR="006D24FC" w:rsidRPr="00D25361" w:rsidRDefault="006D24FC" w:rsidP="00C11883">
      <w:pPr>
        <w:autoSpaceDE w:val="0"/>
        <w:autoSpaceDN w:val="0"/>
        <w:adjustRightInd w:val="0"/>
        <w:spacing w:line="420" w:lineRule="exact"/>
        <w:ind w:leftChars="236" w:left="1133" w:hangingChars="236" w:hanging="567"/>
        <w:jc w:val="both"/>
        <w:rPr>
          <w:rFonts w:ascii="標楷體" w:eastAsia="標楷體"/>
          <w:b/>
          <w:bCs/>
          <w:szCs w:val="24"/>
        </w:rPr>
      </w:pPr>
      <w:r w:rsidRPr="00D25361">
        <w:rPr>
          <w:rFonts w:ascii="標楷體" w:eastAsia="標楷體" w:hint="eastAsia"/>
          <w:b/>
          <w:bCs/>
          <w:szCs w:val="24"/>
        </w:rPr>
        <w:t>乙說（</w:t>
      </w:r>
      <w:r w:rsidRPr="00D25361">
        <w:rPr>
          <w:rFonts w:ascii="標楷體" w:eastAsia="標楷體" w:hAnsi="MS Sans Serif" w:hint="eastAsia"/>
          <w:b/>
          <w:color w:val="000000"/>
          <w:kern w:val="0"/>
          <w:szCs w:val="24"/>
        </w:rPr>
        <w:t>緩起訴處分期間屆滿且未經撤銷時，視同不起訴處分確定</w:t>
      </w:r>
      <w:r w:rsidRPr="00D25361">
        <w:rPr>
          <w:rFonts w:ascii="標楷體" w:eastAsia="標楷體" w:hint="eastAsia"/>
          <w:b/>
          <w:bCs/>
          <w:szCs w:val="24"/>
        </w:rPr>
        <w:t>）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 w:rsidRPr="00D25361">
        <w:rPr>
          <w:rFonts w:ascii="標楷體" w:eastAsia="標楷體" w:hint="eastAsia"/>
          <w:szCs w:val="24"/>
        </w:rPr>
        <w:t>【理由】</w:t>
      </w:r>
    </w:p>
    <w:p w:rsidR="006D24FC" w:rsidRPr="00BF3C9A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一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同甲說理由。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二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項雖未列有緩起訴處分，然緩起訴處分之『最終』將始被告免於刑事訴追之效果，與不起訴處分之效果相同，故上開規定解釋上應包括緩起訴處分。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依本法第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項規定之立法意旨，必待緩起訴處分實質確定時，始確定被告免於受刑事訴追，行政機關始得為行政裁罰。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綜上所述，本法第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項包括緩起訴處分，惟行政機關須待緩起訴處分實質確定時（即期間屆滿且未經撤銷時）始得處罰；如緩起訴處分經撤銷而經法院判決有罪，自應依本法第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1</w:t>
      </w:r>
      <w:r w:rsidRPr="00D25361">
        <w:rPr>
          <w:rFonts w:ascii="標楷體" w:eastAsia="標楷體" w:hint="eastAsia"/>
          <w:szCs w:val="24"/>
        </w:rPr>
        <w:t>項規定，不再處以行政罰鍰。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3" w:hangingChars="236" w:hanging="567"/>
        <w:jc w:val="both"/>
        <w:rPr>
          <w:rFonts w:ascii="標楷體" w:eastAsia="標楷體"/>
          <w:b/>
          <w:bCs/>
          <w:szCs w:val="24"/>
        </w:rPr>
      </w:pPr>
      <w:r w:rsidRPr="00D25361">
        <w:rPr>
          <w:rFonts w:ascii="標楷體" w:eastAsia="標楷體" w:hint="eastAsia"/>
          <w:b/>
          <w:bCs/>
          <w:szCs w:val="24"/>
        </w:rPr>
        <w:t>丙說（</w:t>
      </w:r>
      <w:r w:rsidRPr="001F5FDD">
        <w:rPr>
          <w:rFonts w:ascii="標楷體" w:eastAsia="標楷體" w:hint="eastAsia"/>
          <w:b/>
          <w:bCs/>
          <w:szCs w:val="24"/>
        </w:rPr>
        <w:t>緩起訴處分為實質刑事處罰</w:t>
      </w:r>
      <w:r w:rsidRPr="00D25361">
        <w:rPr>
          <w:rFonts w:ascii="標楷體" w:eastAsia="標楷體" w:hint="eastAsia"/>
          <w:b/>
          <w:bCs/>
          <w:szCs w:val="24"/>
        </w:rPr>
        <w:t>）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 w:rsidRPr="00D25361">
        <w:rPr>
          <w:rFonts w:ascii="標楷體" w:eastAsia="標楷體" w:hint="eastAsia"/>
          <w:szCs w:val="24"/>
        </w:rPr>
        <w:t>【理由】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一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檢察官為緩起訴處分時依刑事訴訟法第</w:t>
      </w:r>
      <w:r w:rsidRPr="00D25361">
        <w:rPr>
          <w:rFonts w:ascii="標楷體" w:eastAsia="標楷體"/>
          <w:szCs w:val="24"/>
        </w:rPr>
        <w:t>253</w:t>
      </w:r>
      <w:r w:rsidRPr="00D25361">
        <w:rPr>
          <w:rFonts w:ascii="標楷體" w:eastAsia="標楷體" w:hint="eastAsia"/>
          <w:szCs w:val="24"/>
        </w:rPr>
        <w:t>條之</w:t>
      </w:r>
      <w:r w:rsidRPr="00D25361">
        <w:rPr>
          <w:rFonts w:ascii="標楷體" w:eastAsia="標楷體"/>
          <w:szCs w:val="24"/>
        </w:rPr>
        <w:t>2</w:t>
      </w:r>
      <w:r w:rsidRPr="00D25361">
        <w:rPr>
          <w:rFonts w:ascii="標楷體" w:eastAsia="標楷體" w:hint="eastAsia"/>
          <w:szCs w:val="24"/>
        </w:rPr>
        <w:t>第</w:t>
      </w:r>
      <w:r w:rsidRPr="00D25361">
        <w:rPr>
          <w:rFonts w:ascii="標楷體" w:eastAsia="標楷體"/>
          <w:szCs w:val="24"/>
        </w:rPr>
        <w:t>1</w:t>
      </w:r>
      <w:r w:rsidRPr="00D25361">
        <w:rPr>
          <w:rFonts w:ascii="標楷體" w:eastAsia="標楷體" w:hint="eastAsia"/>
          <w:szCs w:val="24"/>
        </w:rPr>
        <w:t>項規定對被告所為之指示及課予之負擔雖非刑罰，但性質上可說是實質之制裁，形同科予刑罰或保安處分，對被告財產、自由等權利產生干預或不利之效果。且經由緩起訴處分條件之履行，使其免於遭檢察官發動起訴程序，仍具有替代刑罰之效果，故應屬廣義之「實質刑事法律處罰」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二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刑事案件藉由緩起訴處分而節省司法資源，在基於實質懲罰目的而其財產權遭受剝奪之餘，卻仍須繳鈉一定金額之行政罰鍰，其結果勢必降低刑事被告接受緩起訴處分之意願，而與訂定緩起訴處分以替代繁複刑事審判程序之制度性機能相悖。</w:t>
      </w:r>
    </w:p>
    <w:p w:rsidR="006D24FC" w:rsidRPr="00D25361" w:rsidRDefault="006D24FC" w:rsidP="007F735B">
      <w:pPr>
        <w:autoSpaceDE w:val="0"/>
        <w:autoSpaceDN w:val="0"/>
        <w:adjustRightInd w:val="0"/>
        <w:spacing w:line="420" w:lineRule="exact"/>
        <w:ind w:leftChars="236" w:left="1132" w:hangingChars="236" w:hanging="566"/>
        <w:jc w:val="both"/>
        <w:rPr>
          <w:rFonts w:ascii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>)</w:t>
      </w:r>
      <w:r w:rsidRPr="00D25361">
        <w:rPr>
          <w:rFonts w:ascii="標楷體" w:eastAsia="標楷體" w:hint="eastAsia"/>
          <w:szCs w:val="24"/>
        </w:rPr>
        <w:t>綜上所述，檢察官緩起訴處分如已影響當事人財產及身體上之權利者，應可實質該當於本法第</w:t>
      </w:r>
      <w:r w:rsidRPr="00D25361">
        <w:rPr>
          <w:rFonts w:ascii="標楷體" w:eastAsia="標楷體"/>
          <w:szCs w:val="24"/>
        </w:rPr>
        <w:t>26</w:t>
      </w:r>
      <w:r w:rsidRPr="00D25361">
        <w:rPr>
          <w:rFonts w:ascii="標楷體" w:eastAsia="標楷體" w:hint="eastAsia"/>
          <w:szCs w:val="24"/>
        </w:rPr>
        <w:t>條第</w:t>
      </w:r>
      <w:r w:rsidRPr="00D25361">
        <w:rPr>
          <w:rFonts w:ascii="標楷體" w:eastAsia="標楷體"/>
          <w:szCs w:val="24"/>
        </w:rPr>
        <w:t>1</w:t>
      </w:r>
      <w:r w:rsidRPr="00D25361">
        <w:rPr>
          <w:rFonts w:ascii="標楷體" w:eastAsia="標楷體" w:hint="eastAsia"/>
          <w:szCs w:val="24"/>
        </w:rPr>
        <w:t>項所定「依刑事法律」之處罰，行政機關不得再處以行政罰鍰。</w:t>
      </w:r>
    </w:p>
    <w:p w:rsidR="006D24FC" w:rsidRDefault="006D24FC" w:rsidP="007F735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柒、會議結論：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ind w:leftChars="118" w:left="283"/>
        <w:rPr>
          <w:sz w:val="24"/>
          <w:szCs w:val="24"/>
        </w:rPr>
      </w:pPr>
      <w:r>
        <w:rPr>
          <w:rFonts w:ascii="標楷體" w:hAnsi="標楷體"/>
          <w:b w:val="0"/>
          <w:sz w:val="24"/>
          <w:szCs w:val="24"/>
        </w:rPr>
        <w:t xml:space="preserve">    </w:t>
      </w:r>
      <w:r w:rsidRPr="00D25361">
        <w:rPr>
          <w:rFonts w:ascii="標楷體" w:hAnsi="標楷體" w:hint="eastAsia"/>
          <w:b w:val="0"/>
          <w:sz w:val="24"/>
          <w:szCs w:val="24"/>
        </w:rPr>
        <w:t>綜合今天各位委員的意見，共有</w:t>
      </w:r>
      <w:r w:rsidRPr="00D25361">
        <w:rPr>
          <w:rFonts w:ascii="標楷體" w:hAnsi="標楷體"/>
          <w:b w:val="0"/>
          <w:sz w:val="24"/>
          <w:szCs w:val="24"/>
        </w:rPr>
        <w:t>13</w:t>
      </w:r>
      <w:r w:rsidRPr="00D25361">
        <w:rPr>
          <w:rFonts w:ascii="標楷體" w:hAnsi="標楷體" w:hint="eastAsia"/>
          <w:b w:val="0"/>
          <w:sz w:val="24"/>
          <w:szCs w:val="24"/>
        </w:rPr>
        <w:t>位委員發言，其中</w:t>
      </w:r>
      <w:r w:rsidRPr="00D25361">
        <w:rPr>
          <w:rFonts w:ascii="標楷體" w:hAnsi="標楷體"/>
          <w:b w:val="0"/>
          <w:sz w:val="24"/>
          <w:szCs w:val="24"/>
        </w:rPr>
        <w:t>8</w:t>
      </w:r>
      <w:r w:rsidRPr="00D25361">
        <w:rPr>
          <w:rFonts w:ascii="標楷體" w:hAnsi="標楷體" w:hint="eastAsia"/>
          <w:b w:val="0"/>
          <w:sz w:val="24"/>
          <w:szCs w:val="24"/>
        </w:rPr>
        <w:t>位採甲說，</w:t>
      </w:r>
      <w:r w:rsidRPr="00D25361">
        <w:rPr>
          <w:rFonts w:ascii="標楷體" w:hAnsi="標楷體"/>
          <w:b w:val="0"/>
          <w:sz w:val="24"/>
          <w:szCs w:val="24"/>
        </w:rPr>
        <w:t>2</w:t>
      </w:r>
      <w:r w:rsidRPr="00D25361">
        <w:rPr>
          <w:rFonts w:ascii="標楷體" w:hAnsi="標楷體" w:hint="eastAsia"/>
          <w:b w:val="0"/>
          <w:sz w:val="24"/>
          <w:szCs w:val="24"/>
        </w:rPr>
        <w:t>位採丙說，</w:t>
      </w:r>
      <w:r w:rsidRPr="00D25361">
        <w:rPr>
          <w:rFonts w:ascii="標楷體" w:hAnsi="標楷體"/>
          <w:b w:val="0"/>
          <w:sz w:val="24"/>
          <w:szCs w:val="24"/>
        </w:rPr>
        <w:t>3</w:t>
      </w:r>
      <w:r w:rsidRPr="00D25361">
        <w:rPr>
          <w:rFonts w:ascii="標楷體" w:hAnsi="標楷體" w:hint="eastAsia"/>
          <w:b w:val="0"/>
          <w:sz w:val="24"/>
          <w:szCs w:val="24"/>
        </w:rPr>
        <w:t>位採折衷說，認為應區分緩起訴處分負擔的種類。另關於時間點的問題，發言之委員似均贊成不必等期滿才做行政罰，而是在緩起訴處分確定，即可進行行政處罰程序。本次會議意見係供參考，不作成結論。</w:t>
      </w:r>
    </w:p>
    <w:p w:rsidR="006D24FC" w:rsidRPr="00D25361" w:rsidRDefault="006D24FC" w:rsidP="007F735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捌</w:t>
      </w:r>
      <w:r w:rsidRPr="00D25361">
        <w:rPr>
          <w:rFonts w:hint="eastAsia"/>
          <w:sz w:val="24"/>
          <w:szCs w:val="24"/>
        </w:rPr>
        <w:t>、散會（</w:t>
      </w:r>
      <w:r w:rsidRPr="00D25361">
        <w:rPr>
          <w:sz w:val="24"/>
          <w:szCs w:val="24"/>
        </w:rPr>
        <w:t>1</w:t>
      </w:r>
      <w:r w:rsidRPr="00D25361">
        <w:rPr>
          <w:rFonts w:ascii="標楷體" w:hAnsi="標楷體" w:cs="標楷體"/>
          <w:sz w:val="24"/>
          <w:szCs w:val="24"/>
        </w:rPr>
        <w:t>6</w:t>
      </w:r>
      <w:r w:rsidRPr="00D25361">
        <w:rPr>
          <w:rFonts w:hint="eastAsia"/>
          <w:sz w:val="24"/>
          <w:szCs w:val="24"/>
        </w:rPr>
        <w:t>時</w:t>
      </w:r>
      <w:r w:rsidRPr="00D25361">
        <w:rPr>
          <w:sz w:val="24"/>
          <w:szCs w:val="24"/>
        </w:rPr>
        <w:t>30</w:t>
      </w:r>
      <w:r w:rsidRPr="00D25361">
        <w:rPr>
          <w:rFonts w:hint="eastAsia"/>
          <w:sz w:val="24"/>
          <w:szCs w:val="24"/>
        </w:rPr>
        <w:t>分）。</w:t>
      </w:r>
    </w:p>
    <w:p w:rsidR="006D24FC" w:rsidRPr="00D25361" w:rsidRDefault="006D24FC" w:rsidP="007F735B">
      <w:pPr>
        <w:pStyle w:val="a"/>
        <w:kinsoku w:val="0"/>
        <w:overflowPunct w:val="0"/>
        <w:spacing w:line="420" w:lineRule="exact"/>
        <w:ind w:leftChars="104" w:firstLineChars="1700" w:firstLine="4080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主席：朱</w:t>
      </w:r>
      <w:r w:rsidRPr="00D25361">
        <w:rPr>
          <w:sz w:val="24"/>
          <w:szCs w:val="24"/>
        </w:rPr>
        <w:t xml:space="preserve">  </w:t>
      </w:r>
      <w:r w:rsidRPr="00D25361">
        <w:rPr>
          <w:rFonts w:hint="eastAsia"/>
          <w:sz w:val="24"/>
          <w:szCs w:val="24"/>
        </w:rPr>
        <w:t>楠</w:t>
      </w:r>
    </w:p>
    <w:p w:rsidR="006D24FC" w:rsidRPr="00D25361" w:rsidRDefault="006D24FC" w:rsidP="007F735B">
      <w:pPr>
        <w:pStyle w:val="a"/>
        <w:kinsoku w:val="0"/>
        <w:overflowPunct w:val="0"/>
        <w:spacing w:line="420" w:lineRule="exact"/>
        <w:ind w:leftChars="104" w:firstLineChars="1700" w:firstLine="4080"/>
        <w:rPr>
          <w:sz w:val="24"/>
          <w:szCs w:val="24"/>
        </w:rPr>
      </w:pPr>
      <w:r w:rsidRPr="00D25361">
        <w:rPr>
          <w:rFonts w:hint="eastAsia"/>
          <w:sz w:val="24"/>
          <w:szCs w:val="24"/>
        </w:rPr>
        <w:t>紀錄：陳忠光</w:t>
      </w:r>
    </w:p>
    <w:p w:rsidR="006D24FC" w:rsidRPr="00C11883" w:rsidRDefault="006D24FC" w:rsidP="00C11883">
      <w:pPr>
        <w:pStyle w:val="a"/>
        <w:kinsoku w:val="0"/>
        <w:overflowPunct w:val="0"/>
        <w:spacing w:line="420" w:lineRule="exact"/>
        <w:ind w:leftChars="104" w:firstLineChars="1700" w:firstLine="4080"/>
        <w:rPr>
          <w:sz w:val="24"/>
          <w:szCs w:val="24"/>
        </w:rPr>
      </w:pPr>
      <w:r w:rsidRPr="00C11883">
        <w:rPr>
          <w:sz w:val="24"/>
          <w:szCs w:val="24"/>
        </w:rPr>
        <w:t xml:space="preserve">  </w:t>
      </w:r>
      <w:r w:rsidRPr="00C11883">
        <w:rPr>
          <w:rFonts w:hint="eastAsia"/>
          <w:sz w:val="24"/>
          <w:szCs w:val="24"/>
        </w:rPr>
        <w:t>曾瓊仙</w:t>
      </w:r>
    </w:p>
    <w:sectPr w:rsidR="006D24FC" w:rsidRPr="00C11883" w:rsidSect="005C34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FC" w:rsidRDefault="006D24FC" w:rsidP="00645CB0">
      <w:r>
        <w:separator/>
      </w:r>
    </w:p>
  </w:endnote>
  <w:endnote w:type="continuationSeparator" w:id="0">
    <w:p w:rsidR="006D24FC" w:rsidRDefault="006D24FC" w:rsidP="0064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FC" w:rsidRDefault="006D24FC">
    <w:pPr>
      <w:pStyle w:val="Footer"/>
      <w:jc w:val="center"/>
    </w:pPr>
    <w:fldSimple w:instr=" PAGE   \* MERGEFORMAT ">
      <w:r w:rsidRPr="00C11883">
        <w:rPr>
          <w:noProof/>
          <w:lang w:val="zh-TW"/>
        </w:rPr>
        <w:t>4</w:t>
      </w:r>
    </w:fldSimple>
  </w:p>
  <w:p w:rsidR="006D24FC" w:rsidRDefault="006D2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FC" w:rsidRDefault="006D24FC" w:rsidP="00645CB0">
      <w:r>
        <w:separator/>
      </w:r>
    </w:p>
  </w:footnote>
  <w:footnote w:type="continuationSeparator" w:id="0">
    <w:p w:rsidR="006D24FC" w:rsidRDefault="006D24FC" w:rsidP="00645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5B59"/>
    <w:multiLevelType w:val="hybridMultilevel"/>
    <w:tmpl w:val="62B41162"/>
    <w:lvl w:ilvl="0" w:tplc="A0880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2F23B86"/>
    <w:multiLevelType w:val="hybridMultilevel"/>
    <w:tmpl w:val="BB1A5080"/>
    <w:lvl w:ilvl="0" w:tplc="EA4CFB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2"/>
      </w:pPr>
      <w:rPr>
        <w:rFonts w:ascii="標楷體" w:eastAsia="標楷體" w:cs="標楷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99"/>
    <w:rsid w:val="000369F4"/>
    <w:rsid w:val="000919C6"/>
    <w:rsid w:val="000D0DF6"/>
    <w:rsid w:val="00106054"/>
    <w:rsid w:val="00114030"/>
    <w:rsid w:val="001621FF"/>
    <w:rsid w:val="00173D47"/>
    <w:rsid w:val="001F5FDD"/>
    <w:rsid w:val="002133C4"/>
    <w:rsid w:val="002D4B84"/>
    <w:rsid w:val="00356C99"/>
    <w:rsid w:val="004062B0"/>
    <w:rsid w:val="00485D63"/>
    <w:rsid w:val="004F1335"/>
    <w:rsid w:val="004F146A"/>
    <w:rsid w:val="005C349A"/>
    <w:rsid w:val="00645CB0"/>
    <w:rsid w:val="006559A4"/>
    <w:rsid w:val="0066459B"/>
    <w:rsid w:val="006D24FC"/>
    <w:rsid w:val="006D6C2A"/>
    <w:rsid w:val="006F1CAF"/>
    <w:rsid w:val="007D6A9E"/>
    <w:rsid w:val="007F735B"/>
    <w:rsid w:val="00810545"/>
    <w:rsid w:val="008111C1"/>
    <w:rsid w:val="00867B3F"/>
    <w:rsid w:val="00885184"/>
    <w:rsid w:val="00BF3C9A"/>
    <w:rsid w:val="00C11883"/>
    <w:rsid w:val="00D1347E"/>
    <w:rsid w:val="00D214E2"/>
    <w:rsid w:val="00D25361"/>
    <w:rsid w:val="00D941DD"/>
    <w:rsid w:val="00E60A39"/>
    <w:rsid w:val="00E61084"/>
    <w:rsid w:val="00E9155C"/>
    <w:rsid w:val="00F25974"/>
    <w:rsid w:val="00F7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B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文"/>
    <w:uiPriority w:val="99"/>
    <w:rsid w:val="00645CB0"/>
    <w:pPr>
      <w:adjustRightInd w:val="0"/>
      <w:snapToGrid w:val="0"/>
      <w:spacing w:line="440" w:lineRule="exact"/>
      <w:ind w:leftChars="250" w:left="25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0">
    <w:name w:val="壹"/>
    <w:uiPriority w:val="99"/>
    <w:rsid w:val="00645CB0"/>
    <w:pPr>
      <w:adjustRightInd w:val="0"/>
      <w:snapToGrid w:val="0"/>
      <w:spacing w:beforeLines="75" w:afterLines="25" w:line="440" w:lineRule="exact"/>
      <w:jc w:val="both"/>
    </w:pPr>
    <w:rPr>
      <w:rFonts w:ascii="Times New Roman" w:eastAsia="標楷體" w:hAnsi="Times New Roman"/>
      <w:b/>
      <w:kern w:val="0"/>
      <w:sz w:val="30"/>
      <w:szCs w:val="20"/>
    </w:rPr>
  </w:style>
  <w:style w:type="paragraph" w:customStyle="1" w:styleId="a1">
    <w:name w:val="一、"/>
    <w:basedOn w:val="a"/>
    <w:uiPriority w:val="99"/>
    <w:rsid w:val="00645CB0"/>
    <w:pPr>
      <w:ind w:leftChars="370" w:left="570" w:hangingChars="200" w:hanging="200"/>
    </w:pPr>
  </w:style>
  <w:style w:type="paragraph" w:styleId="FootnoteText">
    <w:name w:val="footnote text"/>
    <w:basedOn w:val="Normal"/>
    <w:link w:val="FootnoteTextChar"/>
    <w:uiPriority w:val="99"/>
    <w:rsid w:val="00645CB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5CB0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5CB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6A9E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A9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385</Words>
  <Characters>2198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法務部行政罰法諮詢小組</dc:title>
  <dc:subject/>
  <dc:creator>yun</dc:creator>
  <cp:keywords/>
  <dc:description/>
  <cp:lastModifiedBy>ycchang</cp:lastModifiedBy>
  <cp:revision>2</cp:revision>
  <dcterms:created xsi:type="dcterms:W3CDTF">2015-05-05T07:12:00Z</dcterms:created>
  <dcterms:modified xsi:type="dcterms:W3CDTF">2015-05-05T07:12:00Z</dcterms:modified>
</cp:coreProperties>
</file>