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8C9" w:rsidRDefault="00CF38C9" w:rsidP="00F15720">
      <w:pPr>
        <w:jc w:val="center"/>
        <w:rPr>
          <w:rFonts w:ascii="標楷體" w:eastAsia="標楷體" w:hAnsi="標楷體"/>
          <w:b/>
          <w:sz w:val="44"/>
          <w:szCs w:val="44"/>
        </w:rPr>
      </w:pPr>
      <w:r w:rsidRPr="006E28FB">
        <w:rPr>
          <w:rFonts w:ascii="標楷體" w:eastAsia="標楷體" w:hAnsi="標楷體" w:hint="eastAsia"/>
          <w:b/>
          <w:sz w:val="44"/>
          <w:szCs w:val="44"/>
        </w:rPr>
        <w:t>法務部行政罰法諮詢小組</w:t>
      </w:r>
    </w:p>
    <w:p w:rsidR="00CF38C9" w:rsidRDefault="00CF38C9" w:rsidP="00F15720">
      <w:pPr>
        <w:jc w:val="center"/>
        <w:rPr>
          <w:rFonts w:ascii="標楷體" w:eastAsia="標楷體" w:hAnsi="標楷體"/>
          <w:b/>
          <w:sz w:val="44"/>
          <w:szCs w:val="44"/>
        </w:rPr>
      </w:pPr>
      <w:r w:rsidRPr="006E28FB">
        <w:rPr>
          <w:rFonts w:ascii="標楷體" w:eastAsia="標楷體" w:hAnsi="標楷體" w:hint="eastAsia"/>
          <w:b/>
          <w:sz w:val="44"/>
          <w:szCs w:val="44"/>
        </w:rPr>
        <w:t>第</w:t>
      </w:r>
      <w:r>
        <w:rPr>
          <w:rFonts w:ascii="標楷體" w:eastAsia="標楷體" w:hAnsi="標楷體"/>
          <w:b/>
          <w:sz w:val="44"/>
          <w:szCs w:val="44"/>
        </w:rPr>
        <w:t>2</w:t>
      </w:r>
      <w:r w:rsidRPr="006E28FB">
        <w:rPr>
          <w:rFonts w:ascii="標楷體" w:eastAsia="標楷體" w:hAnsi="標楷體" w:hint="eastAsia"/>
          <w:b/>
          <w:sz w:val="44"/>
          <w:szCs w:val="44"/>
        </w:rPr>
        <w:t>次</w:t>
      </w:r>
      <w:r w:rsidRPr="006E28FB">
        <w:rPr>
          <w:rFonts w:ascii="標楷體" w:eastAsia="標楷體" w:hAnsi="標楷體" w:hint="eastAsia"/>
          <w:b/>
          <w:spacing w:val="12"/>
          <w:sz w:val="44"/>
          <w:szCs w:val="44"/>
        </w:rPr>
        <w:t>會議紀</w:t>
      </w:r>
      <w:r w:rsidRPr="006E28FB">
        <w:rPr>
          <w:rFonts w:ascii="標楷體" w:eastAsia="標楷體" w:hAnsi="標楷體" w:hint="eastAsia"/>
          <w:b/>
          <w:sz w:val="44"/>
          <w:szCs w:val="44"/>
        </w:rPr>
        <w:t>錄</w:t>
      </w:r>
    </w:p>
    <w:p w:rsidR="00CF38C9" w:rsidRPr="006E28FB" w:rsidRDefault="00CF38C9" w:rsidP="00F15720">
      <w:pPr>
        <w:spacing w:line="420" w:lineRule="exact"/>
        <w:jc w:val="center"/>
        <w:rPr>
          <w:rFonts w:ascii="標楷體" w:eastAsia="標楷體" w:hAnsi="標楷體"/>
          <w:b/>
          <w:sz w:val="16"/>
          <w:szCs w:val="16"/>
        </w:rPr>
      </w:pPr>
    </w:p>
    <w:p w:rsidR="00CF38C9" w:rsidRPr="00D25361" w:rsidRDefault="00CF38C9" w:rsidP="00F15720">
      <w:pPr>
        <w:pStyle w:val="a0"/>
        <w:spacing w:beforeLines="0" w:afterLines="0" w:line="420" w:lineRule="exact"/>
        <w:outlineLvl w:val="0"/>
        <w:rPr>
          <w:sz w:val="24"/>
          <w:szCs w:val="24"/>
        </w:rPr>
      </w:pPr>
      <w:r w:rsidRPr="00D25361">
        <w:rPr>
          <w:rFonts w:hint="eastAsia"/>
          <w:sz w:val="24"/>
          <w:szCs w:val="24"/>
        </w:rPr>
        <w:t>壹、時間</w:t>
      </w:r>
      <w:r w:rsidRPr="00D25361">
        <w:rPr>
          <w:rFonts w:ascii="標楷體" w:hint="eastAsia"/>
          <w:sz w:val="24"/>
          <w:szCs w:val="24"/>
        </w:rPr>
        <w:t>﹕</w:t>
      </w:r>
      <w:r w:rsidRPr="00D25361">
        <w:rPr>
          <w:rFonts w:ascii="標楷體"/>
          <w:sz w:val="24"/>
          <w:szCs w:val="24"/>
        </w:rPr>
        <w:t>94</w:t>
      </w:r>
      <w:r w:rsidRPr="00D25361">
        <w:rPr>
          <w:rFonts w:hint="eastAsia"/>
          <w:sz w:val="24"/>
          <w:szCs w:val="24"/>
        </w:rPr>
        <w:t>年</w:t>
      </w:r>
      <w:r w:rsidRPr="00D25361">
        <w:rPr>
          <w:sz w:val="24"/>
          <w:szCs w:val="24"/>
        </w:rPr>
        <w:t>8</w:t>
      </w:r>
      <w:r w:rsidRPr="00D25361">
        <w:rPr>
          <w:rFonts w:ascii="標楷體" w:hAnsi="標楷體" w:hint="eastAsia"/>
          <w:sz w:val="24"/>
          <w:szCs w:val="24"/>
        </w:rPr>
        <w:t>月</w:t>
      </w:r>
      <w:r w:rsidRPr="00D25361">
        <w:rPr>
          <w:rFonts w:ascii="標楷體" w:hAnsi="標楷體"/>
          <w:sz w:val="24"/>
          <w:szCs w:val="24"/>
        </w:rPr>
        <w:t>4</w:t>
      </w:r>
      <w:r w:rsidRPr="00D25361">
        <w:rPr>
          <w:rFonts w:ascii="標楷體" w:hAnsi="標楷體" w:hint="eastAsia"/>
          <w:sz w:val="24"/>
          <w:szCs w:val="24"/>
        </w:rPr>
        <w:t>日（星期四）下午</w:t>
      </w:r>
      <w:r w:rsidRPr="00D25361">
        <w:rPr>
          <w:rFonts w:ascii="標楷體" w:hAnsi="標楷體"/>
          <w:sz w:val="24"/>
          <w:szCs w:val="24"/>
        </w:rPr>
        <w:t>2</w:t>
      </w:r>
      <w:r w:rsidRPr="00D25361">
        <w:rPr>
          <w:rFonts w:ascii="標楷體" w:hAnsi="標楷體" w:hint="eastAsia"/>
          <w:sz w:val="24"/>
          <w:szCs w:val="24"/>
        </w:rPr>
        <w:t>時</w:t>
      </w:r>
      <w:r w:rsidRPr="00D25361">
        <w:rPr>
          <w:rFonts w:ascii="標楷體" w:hAnsi="標楷體"/>
          <w:sz w:val="24"/>
          <w:szCs w:val="24"/>
        </w:rPr>
        <w:t>30</w:t>
      </w:r>
      <w:r w:rsidRPr="00D25361">
        <w:rPr>
          <w:rFonts w:ascii="標楷體" w:hAnsi="標楷體" w:hint="eastAsia"/>
          <w:sz w:val="24"/>
          <w:szCs w:val="24"/>
        </w:rPr>
        <w:t>分</w:t>
      </w:r>
    </w:p>
    <w:p w:rsidR="00CF38C9" w:rsidRPr="00D25361" w:rsidRDefault="00CF38C9" w:rsidP="00F15720">
      <w:pPr>
        <w:pStyle w:val="a0"/>
        <w:spacing w:beforeLines="0" w:afterLines="0" w:line="420" w:lineRule="exact"/>
        <w:rPr>
          <w:sz w:val="24"/>
          <w:szCs w:val="24"/>
        </w:rPr>
      </w:pPr>
      <w:r w:rsidRPr="00D25361">
        <w:rPr>
          <w:rFonts w:hint="eastAsia"/>
          <w:sz w:val="24"/>
          <w:szCs w:val="24"/>
        </w:rPr>
        <w:t>貳、地點：本部</w:t>
      </w:r>
      <w:r w:rsidRPr="00D25361">
        <w:rPr>
          <w:sz w:val="24"/>
          <w:szCs w:val="24"/>
        </w:rPr>
        <w:t>2</w:t>
      </w:r>
      <w:r w:rsidRPr="00D25361">
        <w:rPr>
          <w:rFonts w:hint="eastAsia"/>
          <w:sz w:val="24"/>
          <w:szCs w:val="24"/>
        </w:rPr>
        <w:t>樓簡報</w:t>
      </w:r>
      <w:r w:rsidRPr="00D25361">
        <w:rPr>
          <w:rFonts w:ascii="標楷體" w:hAnsi="標楷體" w:hint="eastAsia"/>
          <w:sz w:val="24"/>
          <w:szCs w:val="24"/>
        </w:rPr>
        <w:t>室</w:t>
      </w:r>
    </w:p>
    <w:p w:rsidR="00CF38C9" w:rsidRPr="00D25361" w:rsidRDefault="00CF38C9" w:rsidP="00F15720">
      <w:pPr>
        <w:pStyle w:val="a0"/>
        <w:spacing w:beforeLines="0" w:afterLines="0" w:line="420" w:lineRule="exact"/>
        <w:rPr>
          <w:sz w:val="24"/>
          <w:szCs w:val="24"/>
        </w:rPr>
      </w:pPr>
      <w:r w:rsidRPr="00D25361">
        <w:rPr>
          <w:rFonts w:hint="eastAsia"/>
          <w:sz w:val="24"/>
          <w:szCs w:val="24"/>
        </w:rPr>
        <w:t>參、主席：</w:t>
      </w:r>
      <w:r w:rsidRPr="00D25361">
        <w:rPr>
          <w:rFonts w:ascii="標楷體" w:hAnsi="標楷體" w:hint="eastAsia"/>
          <w:sz w:val="24"/>
          <w:szCs w:val="24"/>
        </w:rPr>
        <w:t>朱委員兼召集人楠</w:t>
      </w:r>
    </w:p>
    <w:p w:rsidR="00CF38C9" w:rsidRPr="00D25361" w:rsidRDefault="00CF38C9" w:rsidP="00F15720">
      <w:pPr>
        <w:pStyle w:val="a0"/>
        <w:spacing w:beforeLines="0" w:afterLines="0" w:line="420" w:lineRule="exact"/>
        <w:ind w:left="480" w:hangingChars="200" w:hanging="480"/>
        <w:rPr>
          <w:sz w:val="24"/>
          <w:szCs w:val="24"/>
        </w:rPr>
      </w:pPr>
      <w:r w:rsidRPr="00D25361">
        <w:rPr>
          <w:rFonts w:hint="eastAsia"/>
          <w:sz w:val="24"/>
          <w:szCs w:val="24"/>
        </w:rPr>
        <w:t>肆、出席人員：</w:t>
      </w:r>
      <w:r w:rsidRPr="00D25361">
        <w:rPr>
          <w:rFonts w:hint="eastAsia"/>
          <w:b w:val="0"/>
          <w:bCs/>
          <w:sz w:val="24"/>
          <w:szCs w:val="24"/>
        </w:rPr>
        <w:t>李委員震山、林委員錫堯、林委員朝松、張委員正勝、陳委員明堂、陳委員愛娥、陳委員美伶、曾委員華松、藍委員獻林（以上諮詢委員依委員姓氏筆畫列序）</w:t>
      </w:r>
    </w:p>
    <w:p w:rsidR="00CF38C9" w:rsidRPr="00D25361" w:rsidRDefault="00CF38C9" w:rsidP="00F15720">
      <w:pPr>
        <w:pStyle w:val="a0"/>
        <w:spacing w:beforeLines="0" w:afterLines="0" w:line="420" w:lineRule="exact"/>
        <w:ind w:left="480" w:hangingChars="200" w:hanging="480"/>
        <w:rPr>
          <w:b w:val="0"/>
          <w:bCs/>
          <w:sz w:val="24"/>
          <w:szCs w:val="24"/>
        </w:rPr>
      </w:pPr>
      <w:r w:rsidRPr="00D25361">
        <w:rPr>
          <w:rFonts w:hint="eastAsia"/>
          <w:sz w:val="24"/>
          <w:szCs w:val="24"/>
        </w:rPr>
        <w:t>伍、列席人員：</w:t>
      </w:r>
      <w:r w:rsidRPr="00D25361">
        <w:rPr>
          <w:rFonts w:hint="eastAsia"/>
          <w:b w:val="0"/>
          <w:bCs/>
          <w:sz w:val="24"/>
          <w:szCs w:val="24"/>
        </w:rPr>
        <w:t>如後附簽到簿</w:t>
      </w:r>
    </w:p>
    <w:p w:rsidR="00CF38C9" w:rsidRPr="00D25361" w:rsidRDefault="00CF38C9" w:rsidP="00F15720">
      <w:pPr>
        <w:pStyle w:val="a0"/>
        <w:numPr>
          <w:ilvl w:val="0"/>
          <w:numId w:val="2"/>
        </w:numPr>
        <w:spacing w:beforeLines="0" w:afterLines="0" w:line="420" w:lineRule="exact"/>
        <w:rPr>
          <w:sz w:val="24"/>
          <w:szCs w:val="24"/>
        </w:rPr>
      </w:pPr>
      <w:r w:rsidRPr="00D25361">
        <w:rPr>
          <w:rFonts w:hint="eastAsia"/>
          <w:sz w:val="24"/>
          <w:szCs w:val="24"/>
        </w:rPr>
        <w:t>討論事項：</w:t>
      </w:r>
    </w:p>
    <w:p w:rsidR="00CF38C9" w:rsidRPr="00D25361" w:rsidRDefault="00CF38C9" w:rsidP="00F15720">
      <w:pPr>
        <w:pStyle w:val="a0"/>
        <w:spacing w:beforeLines="0" w:afterLines="0" w:line="420" w:lineRule="exact"/>
        <w:ind w:leftChars="204" w:left="992" w:hangingChars="209" w:hanging="502"/>
        <w:rPr>
          <w:rFonts w:ascii="標楷體"/>
          <w:b w:val="0"/>
          <w:bCs/>
          <w:sz w:val="24"/>
          <w:szCs w:val="24"/>
        </w:rPr>
      </w:pPr>
      <w:r>
        <w:rPr>
          <w:rFonts w:hint="eastAsia"/>
          <w:sz w:val="24"/>
          <w:szCs w:val="24"/>
        </w:rPr>
        <w:t>一、</w:t>
      </w:r>
      <w:r w:rsidRPr="00D25361">
        <w:rPr>
          <w:rFonts w:hint="eastAsia"/>
          <w:sz w:val="24"/>
          <w:szCs w:val="24"/>
        </w:rPr>
        <w:t>問題：</w:t>
      </w:r>
      <w:r w:rsidRPr="00D25361">
        <w:rPr>
          <w:rFonts w:ascii="標楷體" w:hint="eastAsia"/>
          <w:b w:val="0"/>
          <w:bCs/>
          <w:sz w:val="24"/>
          <w:szCs w:val="24"/>
        </w:rPr>
        <w:t>一行為違反數個行政法上義務規定而應處罰鍰者，依法定罰鍰額最高之規定裁處，為行政罰法第</w:t>
      </w:r>
      <w:r w:rsidRPr="00D25361">
        <w:rPr>
          <w:rFonts w:ascii="標楷體"/>
          <w:b w:val="0"/>
          <w:bCs/>
          <w:sz w:val="24"/>
          <w:szCs w:val="24"/>
        </w:rPr>
        <w:t>24</w:t>
      </w:r>
      <w:r w:rsidRPr="00D25361">
        <w:rPr>
          <w:rFonts w:ascii="標楷體" w:hint="eastAsia"/>
          <w:b w:val="0"/>
          <w:bCs/>
          <w:sz w:val="24"/>
          <w:szCs w:val="24"/>
        </w:rPr>
        <w:t>條第</w:t>
      </w:r>
      <w:r w:rsidRPr="00D25361">
        <w:rPr>
          <w:rFonts w:ascii="標楷體"/>
          <w:b w:val="0"/>
          <w:bCs/>
          <w:sz w:val="24"/>
          <w:szCs w:val="24"/>
        </w:rPr>
        <w:t>1</w:t>
      </w:r>
      <w:r w:rsidRPr="00D25361">
        <w:rPr>
          <w:rFonts w:ascii="標楷體" w:hint="eastAsia"/>
          <w:b w:val="0"/>
          <w:bCs/>
          <w:sz w:val="24"/>
          <w:szCs w:val="24"/>
        </w:rPr>
        <w:t>項本文所明定。惟如該數個行政法上義務規定具有特別法與普通法關係者，得否以中央法規標準法第</w:t>
      </w:r>
      <w:r w:rsidRPr="00D25361">
        <w:rPr>
          <w:rFonts w:ascii="標楷體"/>
          <w:b w:val="0"/>
          <w:bCs/>
          <w:sz w:val="24"/>
          <w:szCs w:val="24"/>
        </w:rPr>
        <w:t>16</w:t>
      </w:r>
      <w:r w:rsidRPr="00D25361">
        <w:rPr>
          <w:rFonts w:ascii="標楷體" w:hint="eastAsia"/>
          <w:b w:val="0"/>
          <w:bCs/>
          <w:sz w:val="24"/>
          <w:szCs w:val="24"/>
        </w:rPr>
        <w:t>條特別法優先於普通法原則，排除其適用？</w:t>
      </w:r>
    </w:p>
    <w:p w:rsidR="00CF38C9" w:rsidRPr="00D25361" w:rsidRDefault="00CF38C9" w:rsidP="00F15720">
      <w:pPr>
        <w:pStyle w:val="a0"/>
        <w:spacing w:beforeLines="0" w:afterLines="0" w:line="420" w:lineRule="exact"/>
        <w:ind w:leftChars="204" w:left="992" w:hangingChars="209" w:hanging="502"/>
        <w:rPr>
          <w:rFonts w:ascii="標楷體"/>
          <w:b w:val="0"/>
          <w:bCs/>
          <w:sz w:val="24"/>
          <w:szCs w:val="24"/>
        </w:rPr>
      </w:pPr>
      <w:r>
        <w:rPr>
          <w:rFonts w:hint="eastAsia"/>
          <w:sz w:val="24"/>
          <w:szCs w:val="24"/>
        </w:rPr>
        <w:t>二、</w:t>
      </w:r>
      <w:r w:rsidRPr="00D25361">
        <w:rPr>
          <w:rFonts w:hint="eastAsia"/>
          <w:sz w:val="24"/>
          <w:szCs w:val="24"/>
        </w:rPr>
        <w:t>問題說明：</w:t>
      </w:r>
      <w:r w:rsidRPr="00D25361">
        <w:rPr>
          <w:rFonts w:ascii="標楷體" w:hint="eastAsia"/>
          <w:b w:val="0"/>
          <w:bCs/>
          <w:sz w:val="24"/>
          <w:szCs w:val="24"/>
        </w:rPr>
        <w:t>依行政院公平交易委員會（以下簡稱公平會）</w:t>
      </w:r>
      <w:r w:rsidRPr="00D25361">
        <w:rPr>
          <w:rFonts w:ascii="標楷體"/>
          <w:b w:val="0"/>
          <w:bCs/>
          <w:sz w:val="24"/>
          <w:szCs w:val="24"/>
        </w:rPr>
        <w:t>94</w:t>
      </w:r>
      <w:r w:rsidRPr="00D25361">
        <w:rPr>
          <w:rFonts w:ascii="標楷體" w:hint="eastAsia"/>
          <w:b w:val="0"/>
          <w:bCs/>
          <w:sz w:val="24"/>
          <w:szCs w:val="24"/>
        </w:rPr>
        <w:t>年公法字第</w:t>
      </w:r>
      <w:r w:rsidRPr="00D25361">
        <w:rPr>
          <w:rFonts w:ascii="標楷體"/>
          <w:b w:val="0"/>
          <w:bCs/>
          <w:sz w:val="24"/>
          <w:szCs w:val="24"/>
        </w:rPr>
        <w:t>0940001380</w:t>
      </w:r>
      <w:r w:rsidRPr="00D25361">
        <w:rPr>
          <w:rFonts w:ascii="標楷體" w:hint="eastAsia"/>
          <w:b w:val="0"/>
          <w:bCs/>
          <w:sz w:val="24"/>
          <w:szCs w:val="24"/>
        </w:rPr>
        <w:t>及</w:t>
      </w:r>
      <w:r w:rsidRPr="00D25361">
        <w:rPr>
          <w:rFonts w:ascii="標楷體"/>
          <w:b w:val="0"/>
          <w:bCs/>
          <w:sz w:val="24"/>
          <w:szCs w:val="24"/>
        </w:rPr>
        <w:t>0940003039</w:t>
      </w:r>
      <w:r w:rsidRPr="00D25361">
        <w:rPr>
          <w:rFonts w:ascii="標楷體" w:hint="eastAsia"/>
          <w:b w:val="0"/>
          <w:bCs/>
          <w:sz w:val="24"/>
          <w:szCs w:val="24"/>
        </w:rPr>
        <w:t>號函所述略以：</w:t>
      </w:r>
    </w:p>
    <w:p w:rsidR="00CF38C9" w:rsidRPr="00D25361" w:rsidRDefault="00CF38C9" w:rsidP="00F15720">
      <w:pPr>
        <w:pStyle w:val="a0"/>
        <w:spacing w:beforeLines="0" w:afterLines="0" w:line="420" w:lineRule="exact"/>
        <w:ind w:left="991" w:hangingChars="413" w:hanging="991"/>
        <w:rPr>
          <w:rFonts w:ascii="標楷體"/>
          <w:b w:val="0"/>
          <w:bCs/>
          <w:sz w:val="24"/>
          <w:szCs w:val="24"/>
        </w:rPr>
      </w:pPr>
      <w:r>
        <w:rPr>
          <w:rFonts w:ascii="標楷體"/>
          <w:b w:val="0"/>
          <w:bCs/>
          <w:sz w:val="24"/>
          <w:szCs w:val="24"/>
        </w:rPr>
        <w:t xml:space="preserve">    (</w:t>
      </w:r>
      <w:r>
        <w:rPr>
          <w:rFonts w:ascii="標楷體" w:hint="eastAsia"/>
          <w:b w:val="0"/>
          <w:bCs/>
          <w:sz w:val="24"/>
          <w:szCs w:val="24"/>
        </w:rPr>
        <w:t>一</w:t>
      </w:r>
      <w:r>
        <w:rPr>
          <w:rFonts w:ascii="標楷體"/>
          <w:b w:val="0"/>
          <w:bCs/>
          <w:sz w:val="24"/>
          <w:szCs w:val="24"/>
        </w:rPr>
        <w:t>)</w:t>
      </w:r>
      <w:r w:rsidRPr="00D25361">
        <w:rPr>
          <w:rFonts w:ascii="標楷體" w:hint="eastAsia"/>
          <w:b w:val="0"/>
          <w:bCs/>
          <w:sz w:val="24"/>
          <w:szCs w:val="24"/>
        </w:rPr>
        <w:t>行政罰法第</w:t>
      </w:r>
      <w:r w:rsidRPr="00D25361">
        <w:rPr>
          <w:rFonts w:ascii="標楷體"/>
          <w:b w:val="0"/>
          <w:bCs/>
          <w:sz w:val="24"/>
          <w:szCs w:val="24"/>
        </w:rPr>
        <w:t>24</w:t>
      </w:r>
      <w:r w:rsidRPr="00D25361">
        <w:rPr>
          <w:rFonts w:ascii="標楷體" w:hint="eastAsia"/>
          <w:b w:val="0"/>
          <w:bCs/>
          <w:sz w:val="24"/>
          <w:szCs w:val="24"/>
        </w:rPr>
        <w:t>條第</w:t>
      </w:r>
      <w:r w:rsidRPr="00D25361">
        <w:rPr>
          <w:rFonts w:ascii="標楷體"/>
          <w:b w:val="0"/>
          <w:bCs/>
          <w:sz w:val="24"/>
          <w:szCs w:val="24"/>
        </w:rPr>
        <w:t>1</w:t>
      </w:r>
      <w:r w:rsidRPr="00D25361">
        <w:rPr>
          <w:rFonts w:ascii="標楷體" w:hint="eastAsia"/>
          <w:b w:val="0"/>
          <w:bCs/>
          <w:sz w:val="24"/>
          <w:szCs w:val="24"/>
        </w:rPr>
        <w:t>項及第</w:t>
      </w:r>
      <w:r w:rsidRPr="00D25361">
        <w:rPr>
          <w:rFonts w:ascii="標楷體"/>
          <w:b w:val="0"/>
          <w:bCs/>
          <w:sz w:val="24"/>
          <w:szCs w:val="24"/>
        </w:rPr>
        <w:t>31</w:t>
      </w:r>
      <w:r w:rsidRPr="00D25361">
        <w:rPr>
          <w:rFonts w:ascii="標楷體" w:hint="eastAsia"/>
          <w:b w:val="0"/>
          <w:bCs/>
          <w:sz w:val="24"/>
          <w:szCs w:val="24"/>
        </w:rPr>
        <w:t>條第</w:t>
      </w:r>
      <w:r w:rsidRPr="00D25361">
        <w:rPr>
          <w:rFonts w:ascii="標楷體"/>
          <w:b w:val="0"/>
          <w:bCs/>
          <w:sz w:val="24"/>
          <w:szCs w:val="24"/>
        </w:rPr>
        <w:t>2</w:t>
      </w:r>
      <w:r w:rsidRPr="00D25361">
        <w:rPr>
          <w:rFonts w:ascii="標楷體" w:hint="eastAsia"/>
          <w:b w:val="0"/>
          <w:bCs/>
          <w:sz w:val="24"/>
          <w:szCs w:val="24"/>
        </w:rPr>
        <w:t>、</w:t>
      </w:r>
      <w:r w:rsidRPr="00D25361">
        <w:rPr>
          <w:rFonts w:ascii="標楷體"/>
          <w:b w:val="0"/>
          <w:bCs/>
          <w:sz w:val="24"/>
          <w:szCs w:val="24"/>
        </w:rPr>
        <w:t>3</w:t>
      </w:r>
      <w:r w:rsidRPr="00D25361">
        <w:rPr>
          <w:rFonts w:ascii="標楷體" w:hint="eastAsia"/>
          <w:b w:val="0"/>
          <w:bCs/>
          <w:sz w:val="24"/>
          <w:szCs w:val="24"/>
        </w:rPr>
        <w:t>項所規定一行為不二罰原則，以及同一行為倘違反數行政法規，該行為之罰鍰處分，將由法定罰鍰額度最高之主管機關為最終管轄機關，將對該會業務產生重大影響。</w:t>
      </w:r>
    </w:p>
    <w:p w:rsidR="00CF38C9" w:rsidRPr="00D25361" w:rsidRDefault="00CF38C9" w:rsidP="00F15720">
      <w:pPr>
        <w:pStyle w:val="a0"/>
        <w:spacing w:beforeLines="0" w:afterLines="0" w:line="420" w:lineRule="exact"/>
        <w:ind w:left="991" w:hangingChars="413" w:hanging="991"/>
        <w:rPr>
          <w:rFonts w:ascii="標楷體"/>
          <w:b w:val="0"/>
          <w:bCs/>
          <w:sz w:val="24"/>
          <w:szCs w:val="24"/>
        </w:rPr>
      </w:pPr>
      <w:r>
        <w:rPr>
          <w:rFonts w:ascii="標楷體"/>
          <w:b w:val="0"/>
          <w:bCs/>
          <w:sz w:val="24"/>
          <w:szCs w:val="24"/>
        </w:rPr>
        <w:t xml:space="preserve">    (</w:t>
      </w:r>
      <w:r>
        <w:rPr>
          <w:rFonts w:ascii="標楷體" w:hint="eastAsia"/>
          <w:b w:val="0"/>
          <w:bCs/>
          <w:sz w:val="24"/>
          <w:szCs w:val="24"/>
        </w:rPr>
        <w:t>二</w:t>
      </w:r>
      <w:r>
        <w:rPr>
          <w:rFonts w:ascii="標楷體"/>
          <w:b w:val="0"/>
          <w:bCs/>
          <w:sz w:val="24"/>
          <w:szCs w:val="24"/>
        </w:rPr>
        <w:t>)</w:t>
      </w:r>
      <w:r w:rsidRPr="00D25361">
        <w:rPr>
          <w:rFonts w:ascii="標楷體" w:hint="eastAsia"/>
          <w:b w:val="0"/>
          <w:bCs/>
          <w:sz w:val="24"/>
          <w:szCs w:val="24"/>
        </w:rPr>
        <w:t>按中央法規標準法第</w:t>
      </w:r>
      <w:r w:rsidRPr="00D25361">
        <w:rPr>
          <w:rFonts w:ascii="標楷體"/>
          <w:b w:val="0"/>
          <w:bCs/>
          <w:sz w:val="24"/>
          <w:szCs w:val="24"/>
        </w:rPr>
        <w:t>16</w:t>
      </w:r>
      <w:r w:rsidRPr="00D25361">
        <w:rPr>
          <w:rFonts w:ascii="標楷體" w:hint="eastAsia"/>
          <w:b w:val="0"/>
          <w:bCs/>
          <w:sz w:val="24"/>
          <w:szCs w:val="24"/>
        </w:rPr>
        <w:t>條規定：「法規對其他法規所規定之同一事項而為特別之規定者，應優先適用之。其他法規修正後，仍應優先適用。」明定同一事件適用法規之準據。惟行政罰法第</w:t>
      </w:r>
      <w:r w:rsidRPr="00D25361">
        <w:rPr>
          <w:rFonts w:ascii="標楷體"/>
          <w:b w:val="0"/>
          <w:bCs/>
          <w:sz w:val="24"/>
          <w:szCs w:val="24"/>
        </w:rPr>
        <w:t>24</w:t>
      </w:r>
      <w:r w:rsidRPr="00D25361">
        <w:rPr>
          <w:rFonts w:ascii="標楷體" w:hint="eastAsia"/>
          <w:b w:val="0"/>
          <w:bCs/>
          <w:sz w:val="24"/>
          <w:szCs w:val="24"/>
        </w:rPr>
        <w:t>條第</w:t>
      </w:r>
      <w:r w:rsidRPr="00D25361">
        <w:rPr>
          <w:rFonts w:ascii="標楷體"/>
          <w:b w:val="0"/>
          <w:bCs/>
          <w:sz w:val="24"/>
          <w:szCs w:val="24"/>
        </w:rPr>
        <w:t>1</w:t>
      </w:r>
      <w:r w:rsidRPr="00D25361">
        <w:rPr>
          <w:rFonts w:ascii="標楷體" w:hint="eastAsia"/>
          <w:b w:val="0"/>
          <w:bCs/>
          <w:sz w:val="24"/>
          <w:szCs w:val="24"/>
        </w:rPr>
        <w:t>項規定一行為不二罰原則，法律效果係採從一重處斷。其與前開特別法優先於普通法原則，法律效果係依特別法規規定者有所不同。</w:t>
      </w:r>
    </w:p>
    <w:p w:rsidR="00CF38C9" w:rsidRPr="00D25361" w:rsidRDefault="00CF38C9" w:rsidP="00F15720">
      <w:pPr>
        <w:pStyle w:val="a0"/>
        <w:spacing w:beforeLines="0" w:afterLines="0" w:line="420" w:lineRule="exact"/>
        <w:ind w:left="991" w:hangingChars="413" w:hanging="991"/>
        <w:rPr>
          <w:rFonts w:ascii="標楷體"/>
          <w:b w:val="0"/>
          <w:bCs/>
          <w:sz w:val="24"/>
          <w:szCs w:val="24"/>
        </w:rPr>
      </w:pPr>
      <w:r>
        <w:rPr>
          <w:rFonts w:ascii="標楷體"/>
          <w:b w:val="0"/>
          <w:bCs/>
          <w:sz w:val="24"/>
          <w:szCs w:val="24"/>
        </w:rPr>
        <w:t xml:space="preserve">    (</w:t>
      </w:r>
      <w:r>
        <w:rPr>
          <w:rFonts w:ascii="標楷體" w:hint="eastAsia"/>
          <w:b w:val="0"/>
          <w:bCs/>
          <w:sz w:val="24"/>
          <w:szCs w:val="24"/>
        </w:rPr>
        <w:t>三</w:t>
      </w:r>
      <w:r>
        <w:rPr>
          <w:rFonts w:ascii="標楷體"/>
          <w:b w:val="0"/>
          <w:bCs/>
          <w:sz w:val="24"/>
          <w:szCs w:val="24"/>
        </w:rPr>
        <w:t>)</w:t>
      </w:r>
      <w:r w:rsidRPr="00D25361">
        <w:rPr>
          <w:rFonts w:ascii="標楷體" w:hint="eastAsia"/>
          <w:b w:val="0"/>
          <w:bCs/>
          <w:sz w:val="24"/>
          <w:szCs w:val="24"/>
        </w:rPr>
        <w:t>就公平交易法對不實廣告之規範言，該會為與其他同樣規範不實廣告之行政法規，諸如食品衛生管理法、商品標示法等劃分規範權責，業依特別法優先於普通法原則，分與行政院衛生署、經濟部等機關協商，就各個交錯規範不實廣告之行政法規，釐清商妥各主管機關處理先後及方式；該等協商結論雖與行政罰法所採從重處斷之原則不同，惟行之已久並頗著成效，順利各行政機關行使對不實廣告之規範權限。行政罰法施行後依該法第</w:t>
      </w:r>
      <w:r w:rsidRPr="00D25361">
        <w:rPr>
          <w:rFonts w:ascii="標楷體"/>
          <w:b w:val="0"/>
          <w:bCs/>
          <w:sz w:val="24"/>
          <w:szCs w:val="24"/>
        </w:rPr>
        <w:t>24</w:t>
      </w:r>
      <w:r w:rsidRPr="00D25361">
        <w:rPr>
          <w:rFonts w:ascii="標楷體" w:hint="eastAsia"/>
          <w:b w:val="0"/>
          <w:bCs/>
          <w:sz w:val="24"/>
          <w:szCs w:val="24"/>
        </w:rPr>
        <w:t>條第</w:t>
      </w:r>
      <w:r w:rsidRPr="00D25361">
        <w:rPr>
          <w:rFonts w:ascii="標楷體"/>
          <w:b w:val="0"/>
          <w:bCs/>
          <w:sz w:val="24"/>
          <w:szCs w:val="24"/>
        </w:rPr>
        <w:t>1</w:t>
      </w:r>
      <w:r w:rsidRPr="00D25361">
        <w:rPr>
          <w:rFonts w:ascii="標楷體" w:hint="eastAsia"/>
          <w:b w:val="0"/>
          <w:bCs/>
          <w:sz w:val="24"/>
          <w:szCs w:val="24"/>
        </w:rPr>
        <w:t>項明示之一行為不二罰原則並採從重處斷原則，得否以中央法規標準法第</w:t>
      </w:r>
      <w:r w:rsidRPr="00D25361">
        <w:rPr>
          <w:rFonts w:ascii="標楷體"/>
          <w:b w:val="0"/>
          <w:bCs/>
          <w:sz w:val="24"/>
          <w:szCs w:val="24"/>
        </w:rPr>
        <w:t>16</w:t>
      </w:r>
      <w:r w:rsidRPr="00D25361">
        <w:rPr>
          <w:rFonts w:ascii="標楷體" w:hint="eastAsia"/>
          <w:b w:val="0"/>
          <w:bCs/>
          <w:sz w:val="24"/>
          <w:szCs w:val="24"/>
        </w:rPr>
        <w:t>條特別法優先於普通法原則，排除其適用，尚有疑義，爰函請本部解釋。</w:t>
      </w:r>
    </w:p>
    <w:p w:rsidR="00CF38C9" w:rsidRPr="00497286" w:rsidRDefault="00CF38C9" w:rsidP="00F15720">
      <w:pPr>
        <w:pStyle w:val="a0"/>
        <w:snapToGrid/>
        <w:spacing w:beforeLines="0" w:afterLines="0" w:line="420" w:lineRule="exact"/>
        <w:ind w:firstLineChars="210" w:firstLine="504"/>
        <w:rPr>
          <w:rFonts w:ascii="標楷體"/>
          <w:sz w:val="24"/>
          <w:szCs w:val="24"/>
        </w:rPr>
      </w:pPr>
      <w:r>
        <w:rPr>
          <w:rFonts w:ascii="標楷體" w:hint="eastAsia"/>
          <w:sz w:val="24"/>
          <w:szCs w:val="24"/>
        </w:rPr>
        <w:t>三、</w:t>
      </w:r>
      <w:r w:rsidRPr="00497286">
        <w:rPr>
          <w:rFonts w:ascii="標楷體" w:hint="eastAsia"/>
          <w:sz w:val="24"/>
          <w:szCs w:val="24"/>
        </w:rPr>
        <w:t>法律事務司初步研究意見：</w:t>
      </w:r>
    </w:p>
    <w:p w:rsidR="00CF38C9" w:rsidRPr="00D25361" w:rsidRDefault="00CF38C9" w:rsidP="00F15720">
      <w:pPr>
        <w:spacing w:line="420" w:lineRule="exact"/>
        <w:ind w:firstLineChars="221" w:firstLine="531"/>
        <w:rPr>
          <w:rFonts w:ascii="標楷體" w:eastAsia="標楷體" w:hAnsi="標楷體"/>
          <w:b/>
          <w:bCs/>
          <w:szCs w:val="24"/>
        </w:rPr>
      </w:pPr>
      <w:r w:rsidRPr="00D25361">
        <w:rPr>
          <w:rFonts w:ascii="標楷體" w:eastAsia="標楷體" w:hAnsi="標楷體" w:hint="eastAsia"/>
          <w:b/>
          <w:bCs/>
          <w:szCs w:val="24"/>
        </w:rPr>
        <w:t>甲說（依特別法優先於普通法適用之原則，應優先適用特別法）：</w:t>
      </w:r>
    </w:p>
    <w:p w:rsidR="00CF38C9" w:rsidRPr="00D25361" w:rsidRDefault="00CF38C9" w:rsidP="00F15720">
      <w:pPr>
        <w:spacing w:line="420" w:lineRule="exact"/>
        <w:ind w:leftChars="210" w:left="504" w:firstLineChars="200" w:firstLine="480"/>
        <w:rPr>
          <w:rFonts w:ascii="標楷體" w:eastAsia="標楷體" w:hAnsi="標楷體"/>
          <w:szCs w:val="24"/>
        </w:rPr>
      </w:pPr>
      <w:r w:rsidRPr="00D25361">
        <w:rPr>
          <w:rFonts w:ascii="標楷體" w:eastAsia="標楷體" w:hAnsi="標楷體" w:hint="eastAsia"/>
          <w:szCs w:val="24"/>
        </w:rPr>
        <w:t>一行為違反二以上行政法上義務規定，而該二以上規定之間存有特別法與普通法關係者，於此情形，特別規定之構成要件必涵蓋普通規定之構成要件，從而，除法律別有規定外，應依特別法優先於普通法適用之原則，優先適用該特別規定，而不再適用一行為不二罰原則。申言之，特別法優先適用之原則，為更重要之法規適用原則，在法規適用之順序上，應更高於從一重處罰之原則，故特別法中對於同一行為雖其法定罰鍰額較低，仍應優先適用該特別法並由該特別法之主管機關為裁罰之管轄機關。</w:t>
      </w:r>
    </w:p>
    <w:p w:rsidR="00CF38C9" w:rsidRPr="00D25361" w:rsidRDefault="00CF38C9" w:rsidP="00F15720">
      <w:pPr>
        <w:spacing w:line="420" w:lineRule="exact"/>
        <w:ind w:leftChars="221" w:left="1133" w:hangingChars="251" w:hanging="603"/>
        <w:rPr>
          <w:rFonts w:ascii="標楷體" w:eastAsia="標楷體" w:hAnsi="標楷體"/>
          <w:b/>
          <w:bCs/>
          <w:szCs w:val="24"/>
        </w:rPr>
      </w:pPr>
      <w:r w:rsidRPr="00D25361">
        <w:rPr>
          <w:rFonts w:ascii="標楷體" w:eastAsia="標楷體" w:hAnsi="標楷體" w:hint="eastAsia"/>
          <w:b/>
          <w:bCs/>
          <w:szCs w:val="24"/>
        </w:rPr>
        <w:t>乙說（</w:t>
      </w:r>
      <w:r w:rsidRPr="00497286">
        <w:rPr>
          <w:rFonts w:ascii="標楷體" w:eastAsia="標楷體" w:hAnsi="標楷體" w:hint="eastAsia"/>
          <w:b/>
          <w:bCs/>
          <w:szCs w:val="24"/>
        </w:rPr>
        <w:t>行政罰法第</w:t>
      </w:r>
      <w:r w:rsidRPr="00497286">
        <w:rPr>
          <w:rFonts w:ascii="標楷體" w:eastAsia="標楷體" w:hAnsi="標楷體"/>
          <w:b/>
          <w:bCs/>
          <w:szCs w:val="24"/>
        </w:rPr>
        <w:t>24</w:t>
      </w:r>
      <w:r w:rsidRPr="00497286">
        <w:rPr>
          <w:rFonts w:ascii="標楷體" w:eastAsia="標楷體" w:hAnsi="標楷體" w:hint="eastAsia"/>
          <w:b/>
          <w:bCs/>
          <w:szCs w:val="24"/>
        </w:rPr>
        <w:t>條得處罰數法律中有普通法與特別法關係者，仍應依該條第</w:t>
      </w:r>
      <w:r w:rsidRPr="00497286">
        <w:rPr>
          <w:rFonts w:ascii="標楷體" w:eastAsia="標楷體" w:hAnsi="標楷體"/>
          <w:b/>
          <w:bCs/>
          <w:szCs w:val="24"/>
        </w:rPr>
        <w:t>1</w:t>
      </w:r>
      <w:r w:rsidRPr="00497286">
        <w:rPr>
          <w:rFonts w:ascii="標楷體" w:eastAsia="標楷體" w:hAnsi="標楷體" w:hint="eastAsia"/>
          <w:b/>
          <w:bCs/>
          <w:szCs w:val="24"/>
        </w:rPr>
        <w:t>項依法定罰鍰額最高之規定裁處</w:t>
      </w:r>
      <w:r w:rsidRPr="00D25361">
        <w:rPr>
          <w:rFonts w:ascii="標楷體" w:eastAsia="標楷體" w:hAnsi="標楷體"/>
          <w:b/>
          <w:bCs/>
          <w:szCs w:val="24"/>
        </w:rPr>
        <w:fldChar w:fldCharType="begin"/>
      </w:r>
      <w:r w:rsidRPr="00D25361">
        <w:rPr>
          <w:rFonts w:ascii="標楷體" w:eastAsia="標楷體" w:hAnsi="標楷體"/>
          <w:b/>
          <w:bCs/>
          <w:szCs w:val="24"/>
        </w:rPr>
        <w:instrText xml:space="preserve"> = 24 \* Arabic </w:instrText>
      </w:r>
      <w:r w:rsidRPr="00D25361">
        <w:rPr>
          <w:rFonts w:ascii="標楷體" w:eastAsia="標楷體" w:hAnsi="標楷體"/>
          <w:b/>
          <w:bCs/>
          <w:szCs w:val="24"/>
        </w:rPr>
        <w:fldChar w:fldCharType="end"/>
      </w:r>
      <w:r w:rsidRPr="00D25361">
        <w:rPr>
          <w:rFonts w:ascii="標楷體" w:eastAsia="標楷體" w:hAnsi="標楷體" w:hint="eastAsia"/>
          <w:b/>
          <w:bCs/>
          <w:szCs w:val="24"/>
        </w:rPr>
        <w:t>）：</w:t>
      </w:r>
    </w:p>
    <w:p w:rsidR="00CF38C9" w:rsidRPr="00D25361" w:rsidRDefault="00CF38C9" w:rsidP="00F15720">
      <w:pPr>
        <w:spacing w:line="420" w:lineRule="exact"/>
        <w:ind w:leftChars="210" w:left="504" w:firstLineChars="200" w:firstLine="480"/>
        <w:rPr>
          <w:rFonts w:ascii="標楷體"/>
          <w:b/>
          <w:bCs/>
          <w:szCs w:val="24"/>
        </w:rPr>
      </w:pPr>
      <w:r w:rsidRPr="00497286">
        <w:rPr>
          <w:rFonts w:ascii="標楷體" w:eastAsia="標楷體" w:hAnsi="標楷體" w:hint="eastAsia"/>
          <w:szCs w:val="24"/>
        </w:rPr>
        <w:t>按行政罰法第</w:t>
      </w:r>
      <w:r w:rsidRPr="00497286">
        <w:rPr>
          <w:rFonts w:ascii="標楷體" w:eastAsia="標楷體" w:hAnsi="標楷體"/>
          <w:szCs w:val="24"/>
        </w:rPr>
        <w:t>24</w:t>
      </w:r>
      <w:r w:rsidRPr="00497286">
        <w:rPr>
          <w:rFonts w:ascii="標楷體" w:eastAsia="標楷體" w:hAnsi="標楷體" w:hint="eastAsia"/>
          <w:szCs w:val="24"/>
        </w:rPr>
        <w:t>條第</w:t>
      </w:r>
      <w:r w:rsidRPr="00497286">
        <w:rPr>
          <w:rFonts w:ascii="標楷體" w:eastAsia="標楷體" w:hAnsi="標楷體"/>
          <w:szCs w:val="24"/>
        </w:rPr>
        <w:t>1</w:t>
      </w:r>
      <w:r w:rsidRPr="00497286">
        <w:rPr>
          <w:rFonts w:ascii="標楷體" w:eastAsia="標楷體" w:hAnsi="標楷體" w:hint="eastAsia"/>
          <w:szCs w:val="24"/>
        </w:rPr>
        <w:t>項係就一行為違反數個行政法上義務規定應受罰鍰裁處之情形而為規定，此際因行為人之違規行為僅為單一行為，僅因個別行政法令所欲達成之行政目的有所不同，致同時觸犯多數均應裁處罰鍰之規定，故明文規定應依法定罰鍰額最高之法律規定裁處，惟其裁處之額度，不得低於各該法律規定之最低罰鍰額度。本法之立法目的，乃在於為各類行政罰之裁處，制定一共通適用之統一性、綜合性法典，如行為人所為單一行為違反數行政法上義務而應處罰鍰時，縱使數行政法間有普通法和特別法之關係時，仍應依本條第</w:t>
      </w:r>
      <w:r w:rsidRPr="00497286">
        <w:rPr>
          <w:rFonts w:ascii="標楷體" w:eastAsia="標楷體" w:hAnsi="標楷體"/>
          <w:szCs w:val="24"/>
        </w:rPr>
        <w:t>1</w:t>
      </w:r>
      <w:r w:rsidRPr="00497286">
        <w:rPr>
          <w:rFonts w:ascii="標楷體" w:eastAsia="標楷體" w:hAnsi="標楷體" w:hint="eastAsia"/>
          <w:szCs w:val="24"/>
        </w:rPr>
        <w:t>項依法定罰鍰額最高之規定裁處，以避免裁處機關認定及執行上之困難。</w:t>
      </w:r>
    </w:p>
    <w:p w:rsidR="00CF38C9" w:rsidRPr="00D25361" w:rsidRDefault="00CF38C9" w:rsidP="00F15720">
      <w:pPr>
        <w:pStyle w:val="a0"/>
        <w:spacing w:beforeLines="0" w:afterLines="0" w:line="420" w:lineRule="exact"/>
        <w:rPr>
          <w:sz w:val="24"/>
          <w:szCs w:val="24"/>
        </w:rPr>
      </w:pPr>
      <w:r w:rsidRPr="00D25361">
        <w:rPr>
          <w:rFonts w:hint="eastAsia"/>
          <w:sz w:val="24"/>
          <w:szCs w:val="24"/>
        </w:rPr>
        <w:t>柒、會議結論：</w:t>
      </w:r>
    </w:p>
    <w:p w:rsidR="00CF38C9" w:rsidRPr="00D25361" w:rsidRDefault="00CF38C9" w:rsidP="00F15720">
      <w:pPr>
        <w:pStyle w:val="a1"/>
        <w:spacing w:line="420" w:lineRule="exact"/>
        <w:ind w:leftChars="236" w:left="991" w:hangingChars="177" w:hanging="425"/>
        <w:jc w:val="left"/>
        <w:rPr>
          <w:sz w:val="24"/>
          <w:szCs w:val="24"/>
        </w:rPr>
      </w:pPr>
      <w:r>
        <w:rPr>
          <w:rFonts w:hint="eastAsia"/>
          <w:sz w:val="24"/>
          <w:szCs w:val="24"/>
        </w:rPr>
        <w:t>一、</w:t>
      </w:r>
      <w:r w:rsidRPr="00D25361">
        <w:rPr>
          <w:rFonts w:hint="eastAsia"/>
          <w:sz w:val="24"/>
          <w:szCs w:val="24"/>
        </w:rPr>
        <w:t>採甲說（依特別法優先於普通法適用之原則，應優先適用特別法）：一行為違反二以上行政法上義務規定，而該二以上規定之間存有特別法與普通法關係者，於此情形，特別規定之構成要件必涵蓋普通規定之構成要件，從而，除法律別有規定外，應依特別法優先於普通法適用之原則，優先適用該特別規定，而不再適用一行為不二罰原則。申言之，特別法優先適用之原則，為更重要之法規適用原則，在法規適用之順序上，應更高於從一重處罰之原則，故特別法中對於同一行為雖其法定罰鍰額較低，仍應優先適用該特別法並由該特別法之主管機關為裁罰之管轄機關。</w:t>
      </w:r>
    </w:p>
    <w:p w:rsidR="00CF38C9" w:rsidRPr="00D25361" w:rsidRDefault="00CF38C9" w:rsidP="00F15720">
      <w:pPr>
        <w:pStyle w:val="a1"/>
        <w:spacing w:line="420" w:lineRule="exact"/>
        <w:ind w:leftChars="0" w:left="360" w:firstLineChars="48" w:firstLine="115"/>
        <w:jc w:val="left"/>
        <w:rPr>
          <w:sz w:val="24"/>
          <w:szCs w:val="24"/>
        </w:rPr>
      </w:pPr>
      <w:r>
        <w:rPr>
          <w:rFonts w:hint="eastAsia"/>
          <w:sz w:val="24"/>
          <w:szCs w:val="24"/>
        </w:rPr>
        <w:t>二、</w:t>
      </w:r>
      <w:r w:rsidRPr="00D25361">
        <w:rPr>
          <w:rFonts w:hint="eastAsia"/>
          <w:sz w:val="24"/>
          <w:szCs w:val="24"/>
        </w:rPr>
        <w:t>與會委員所提修法意見，請公平交易委員會參考。</w:t>
      </w:r>
    </w:p>
    <w:p w:rsidR="00CF38C9" w:rsidRPr="00D25361" w:rsidRDefault="00CF38C9" w:rsidP="00F15720">
      <w:pPr>
        <w:pStyle w:val="a0"/>
        <w:spacing w:beforeLines="0" w:afterLines="0" w:line="420" w:lineRule="exact"/>
        <w:rPr>
          <w:sz w:val="24"/>
          <w:szCs w:val="24"/>
        </w:rPr>
      </w:pPr>
      <w:r>
        <w:rPr>
          <w:rFonts w:hint="eastAsia"/>
          <w:sz w:val="24"/>
          <w:szCs w:val="24"/>
        </w:rPr>
        <w:t>捌</w:t>
      </w:r>
      <w:r w:rsidRPr="00D25361">
        <w:rPr>
          <w:rFonts w:hint="eastAsia"/>
          <w:sz w:val="24"/>
          <w:szCs w:val="24"/>
        </w:rPr>
        <w:t>、散會（十六時三十分）。</w:t>
      </w:r>
    </w:p>
    <w:p w:rsidR="00CF38C9" w:rsidRPr="00D25361" w:rsidRDefault="00CF38C9" w:rsidP="00F15720">
      <w:pPr>
        <w:pStyle w:val="a"/>
        <w:spacing w:line="420" w:lineRule="exact"/>
        <w:ind w:leftChars="104" w:firstLineChars="1700" w:firstLine="4080"/>
        <w:rPr>
          <w:sz w:val="24"/>
          <w:szCs w:val="24"/>
        </w:rPr>
      </w:pPr>
      <w:r w:rsidRPr="00D25361">
        <w:rPr>
          <w:rFonts w:hint="eastAsia"/>
          <w:sz w:val="24"/>
          <w:szCs w:val="24"/>
        </w:rPr>
        <w:t>主席：朱</w:t>
      </w:r>
      <w:r>
        <w:rPr>
          <w:sz w:val="24"/>
          <w:szCs w:val="24"/>
        </w:rPr>
        <w:t xml:space="preserve">  </w:t>
      </w:r>
      <w:r w:rsidRPr="00D25361">
        <w:rPr>
          <w:rFonts w:hint="eastAsia"/>
          <w:sz w:val="24"/>
          <w:szCs w:val="24"/>
        </w:rPr>
        <w:t>楠</w:t>
      </w:r>
    </w:p>
    <w:p w:rsidR="00CF38C9" w:rsidRDefault="00CF38C9" w:rsidP="00F15720">
      <w:pPr>
        <w:pStyle w:val="a"/>
        <w:spacing w:line="420" w:lineRule="exact"/>
        <w:ind w:leftChars="104" w:firstLineChars="1700" w:firstLine="4080"/>
        <w:rPr>
          <w:sz w:val="24"/>
          <w:szCs w:val="24"/>
        </w:rPr>
      </w:pPr>
      <w:r w:rsidRPr="00D25361">
        <w:rPr>
          <w:rFonts w:hint="eastAsia"/>
          <w:sz w:val="24"/>
          <w:szCs w:val="24"/>
        </w:rPr>
        <w:t>紀錄：方華香</w:t>
      </w:r>
    </w:p>
    <w:sectPr w:rsidR="00CF38C9" w:rsidSect="005C349A">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8C9" w:rsidRDefault="00CF38C9" w:rsidP="00645CB0">
      <w:r>
        <w:separator/>
      </w:r>
    </w:p>
  </w:endnote>
  <w:endnote w:type="continuationSeparator" w:id="0">
    <w:p w:rsidR="00CF38C9" w:rsidRDefault="00CF38C9" w:rsidP="00645CB0">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8C9" w:rsidRDefault="00CF38C9">
    <w:pPr>
      <w:pStyle w:val="Footer"/>
      <w:jc w:val="center"/>
    </w:pPr>
    <w:fldSimple w:instr=" PAGE   \* MERGEFORMAT ">
      <w:r w:rsidRPr="00196D09">
        <w:rPr>
          <w:noProof/>
          <w:lang w:val="zh-TW"/>
        </w:rPr>
        <w:t>2</w:t>
      </w:r>
    </w:fldSimple>
  </w:p>
  <w:p w:rsidR="00CF38C9" w:rsidRDefault="00CF38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8C9" w:rsidRDefault="00CF38C9" w:rsidP="00645CB0">
      <w:r>
        <w:separator/>
      </w:r>
    </w:p>
  </w:footnote>
  <w:footnote w:type="continuationSeparator" w:id="0">
    <w:p w:rsidR="00CF38C9" w:rsidRDefault="00CF38C9" w:rsidP="00645C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F23B86"/>
    <w:multiLevelType w:val="hybridMultilevel"/>
    <w:tmpl w:val="BB1A5080"/>
    <w:lvl w:ilvl="0" w:tplc="EA4CFB84">
      <w:start w:val="1"/>
      <w:numFmt w:val="taiwaneseCountingThousand"/>
      <w:lvlText w:val="%1、"/>
      <w:lvlJc w:val="left"/>
      <w:pPr>
        <w:tabs>
          <w:tab w:val="num" w:pos="435"/>
        </w:tabs>
        <w:ind w:left="435" w:hanging="432"/>
      </w:pPr>
      <w:rPr>
        <w:rFonts w:ascii="標楷體" w:eastAsia="標楷體" w:cs="標楷體" w:hint="default"/>
        <w:sz w:val="21"/>
      </w:rPr>
    </w:lvl>
    <w:lvl w:ilvl="1" w:tplc="04090019" w:tentative="1">
      <w:start w:val="1"/>
      <w:numFmt w:val="ideographTraditional"/>
      <w:lvlText w:val="%2、"/>
      <w:lvlJc w:val="left"/>
      <w:pPr>
        <w:tabs>
          <w:tab w:val="num" w:pos="963"/>
        </w:tabs>
        <w:ind w:left="963" w:hanging="480"/>
      </w:pPr>
      <w:rPr>
        <w:rFonts w:cs="Times New Roman"/>
      </w:rPr>
    </w:lvl>
    <w:lvl w:ilvl="2" w:tplc="0409001B" w:tentative="1">
      <w:start w:val="1"/>
      <w:numFmt w:val="lowerRoman"/>
      <w:lvlText w:val="%3."/>
      <w:lvlJc w:val="right"/>
      <w:pPr>
        <w:tabs>
          <w:tab w:val="num" w:pos="1443"/>
        </w:tabs>
        <w:ind w:left="1443" w:hanging="480"/>
      </w:pPr>
      <w:rPr>
        <w:rFonts w:cs="Times New Roman"/>
      </w:rPr>
    </w:lvl>
    <w:lvl w:ilvl="3" w:tplc="0409000F" w:tentative="1">
      <w:start w:val="1"/>
      <w:numFmt w:val="decimal"/>
      <w:lvlText w:val="%4."/>
      <w:lvlJc w:val="left"/>
      <w:pPr>
        <w:tabs>
          <w:tab w:val="num" w:pos="1923"/>
        </w:tabs>
        <w:ind w:left="1923" w:hanging="480"/>
      </w:pPr>
      <w:rPr>
        <w:rFonts w:cs="Times New Roman"/>
      </w:rPr>
    </w:lvl>
    <w:lvl w:ilvl="4" w:tplc="04090019" w:tentative="1">
      <w:start w:val="1"/>
      <w:numFmt w:val="ideographTraditional"/>
      <w:lvlText w:val="%5、"/>
      <w:lvlJc w:val="left"/>
      <w:pPr>
        <w:tabs>
          <w:tab w:val="num" w:pos="2403"/>
        </w:tabs>
        <w:ind w:left="2403" w:hanging="480"/>
      </w:pPr>
      <w:rPr>
        <w:rFonts w:cs="Times New Roman"/>
      </w:rPr>
    </w:lvl>
    <w:lvl w:ilvl="5" w:tplc="0409001B" w:tentative="1">
      <w:start w:val="1"/>
      <w:numFmt w:val="lowerRoman"/>
      <w:lvlText w:val="%6."/>
      <w:lvlJc w:val="right"/>
      <w:pPr>
        <w:tabs>
          <w:tab w:val="num" w:pos="2883"/>
        </w:tabs>
        <w:ind w:left="2883" w:hanging="480"/>
      </w:pPr>
      <w:rPr>
        <w:rFonts w:cs="Times New Roman"/>
      </w:rPr>
    </w:lvl>
    <w:lvl w:ilvl="6" w:tplc="0409000F" w:tentative="1">
      <w:start w:val="1"/>
      <w:numFmt w:val="decimal"/>
      <w:lvlText w:val="%7."/>
      <w:lvlJc w:val="left"/>
      <w:pPr>
        <w:tabs>
          <w:tab w:val="num" w:pos="3363"/>
        </w:tabs>
        <w:ind w:left="3363" w:hanging="480"/>
      </w:pPr>
      <w:rPr>
        <w:rFonts w:cs="Times New Roman"/>
      </w:rPr>
    </w:lvl>
    <w:lvl w:ilvl="7" w:tplc="04090019" w:tentative="1">
      <w:start w:val="1"/>
      <w:numFmt w:val="ideographTraditional"/>
      <w:lvlText w:val="%8、"/>
      <w:lvlJc w:val="left"/>
      <w:pPr>
        <w:tabs>
          <w:tab w:val="num" w:pos="3843"/>
        </w:tabs>
        <w:ind w:left="3843" w:hanging="480"/>
      </w:pPr>
      <w:rPr>
        <w:rFonts w:cs="Times New Roman"/>
      </w:rPr>
    </w:lvl>
    <w:lvl w:ilvl="8" w:tplc="0409001B" w:tentative="1">
      <w:start w:val="1"/>
      <w:numFmt w:val="lowerRoman"/>
      <w:lvlText w:val="%9."/>
      <w:lvlJc w:val="right"/>
      <w:pPr>
        <w:tabs>
          <w:tab w:val="num" w:pos="4323"/>
        </w:tabs>
        <w:ind w:left="4323" w:hanging="480"/>
      </w:pPr>
      <w:rPr>
        <w:rFonts w:cs="Times New Roman"/>
      </w:rPr>
    </w:lvl>
  </w:abstractNum>
  <w:abstractNum w:abstractNumId="1">
    <w:nsid w:val="78831B79"/>
    <w:multiLevelType w:val="hybridMultilevel"/>
    <w:tmpl w:val="927AD5A6"/>
    <w:lvl w:ilvl="0" w:tplc="09F08E4C">
      <w:start w:val="6"/>
      <w:numFmt w:val="ideographLegalTraditional"/>
      <w:lvlText w:val="%1、"/>
      <w:lvlJc w:val="left"/>
      <w:pPr>
        <w:ind w:left="510" w:hanging="510"/>
      </w:pPr>
      <w:rPr>
        <w:rFonts w:cs="Times New Roman" w:hint="default"/>
      </w:rPr>
    </w:lvl>
    <w:lvl w:ilvl="1" w:tplc="0100C72E">
      <w:start w:val="2"/>
      <w:numFmt w:val="taiwaneseCountingThousand"/>
      <w:lvlText w:val="%2、"/>
      <w:lvlJc w:val="left"/>
      <w:pPr>
        <w:ind w:left="990" w:hanging="510"/>
      </w:pPr>
      <w:rPr>
        <w:rFonts w:ascii="Times New Roman" w:cs="Times New Roman" w:hint="default"/>
        <w:b/>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6C99"/>
    <w:rsid w:val="00196D09"/>
    <w:rsid w:val="001C6FAC"/>
    <w:rsid w:val="00302470"/>
    <w:rsid w:val="00347F4C"/>
    <w:rsid w:val="0035413E"/>
    <w:rsid w:val="00356C99"/>
    <w:rsid w:val="00497286"/>
    <w:rsid w:val="004C7D8A"/>
    <w:rsid w:val="004F1335"/>
    <w:rsid w:val="0051243E"/>
    <w:rsid w:val="005444DD"/>
    <w:rsid w:val="005C349A"/>
    <w:rsid w:val="00645CB0"/>
    <w:rsid w:val="006E28FB"/>
    <w:rsid w:val="006F1CAF"/>
    <w:rsid w:val="00764839"/>
    <w:rsid w:val="007C6677"/>
    <w:rsid w:val="007D6A9E"/>
    <w:rsid w:val="00810545"/>
    <w:rsid w:val="00980750"/>
    <w:rsid w:val="00AB3BF6"/>
    <w:rsid w:val="00B26805"/>
    <w:rsid w:val="00BE4F96"/>
    <w:rsid w:val="00CF38C9"/>
    <w:rsid w:val="00D131C1"/>
    <w:rsid w:val="00D1347E"/>
    <w:rsid w:val="00D25361"/>
    <w:rsid w:val="00DB0453"/>
    <w:rsid w:val="00E60A39"/>
    <w:rsid w:val="00E9155C"/>
    <w:rsid w:val="00EC0317"/>
    <w:rsid w:val="00F157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CB0"/>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文"/>
    <w:uiPriority w:val="99"/>
    <w:rsid w:val="00645CB0"/>
    <w:pPr>
      <w:adjustRightInd w:val="0"/>
      <w:snapToGrid w:val="0"/>
      <w:spacing w:line="440" w:lineRule="exact"/>
      <w:ind w:leftChars="250" w:left="250"/>
      <w:jc w:val="both"/>
    </w:pPr>
    <w:rPr>
      <w:rFonts w:ascii="Times New Roman" w:eastAsia="標楷體" w:hAnsi="Times New Roman"/>
      <w:kern w:val="0"/>
      <w:sz w:val="28"/>
      <w:szCs w:val="20"/>
    </w:rPr>
  </w:style>
  <w:style w:type="paragraph" w:customStyle="1" w:styleId="a0">
    <w:name w:val="壹"/>
    <w:uiPriority w:val="99"/>
    <w:rsid w:val="00645CB0"/>
    <w:pPr>
      <w:adjustRightInd w:val="0"/>
      <w:snapToGrid w:val="0"/>
      <w:spacing w:beforeLines="75" w:afterLines="25" w:line="440" w:lineRule="exact"/>
      <w:jc w:val="both"/>
    </w:pPr>
    <w:rPr>
      <w:rFonts w:ascii="Times New Roman" w:eastAsia="標楷體" w:hAnsi="Times New Roman"/>
      <w:b/>
      <w:kern w:val="0"/>
      <w:sz w:val="30"/>
      <w:szCs w:val="20"/>
    </w:rPr>
  </w:style>
  <w:style w:type="paragraph" w:customStyle="1" w:styleId="a1">
    <w:name w:val="一、"/>
    <w:basedOn w:val="a"/>
    <w:uiPriority w:val="99"/>
    <w:rsid w:val="00645CB0"/>
    <w:pPr>
      <w:ind w:leftChars="370" w:left="570" w:hangingChars="200" w:hanging="200"/>
    </w:pPr>
  </w:style>
  <w:style w:type="paragraph" w:styleId="FootnoteText">
    <w:name w:val="footnote text"/>
    <w:basedOn w:val="Normal"/>
    <w:link w:val="FootnoteTextChar"/>
    <w:uiPriority w:val="99"/>
    <w:rsid w:val="00645CB0"/>
    <w:pPr>
      <w:snapToGrid w:val="0"/>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645CB0"/>
    <w:rPr>
      <w:rFonts w:ascii="Times New Roman" w:eastAsia="新細明體" w:hAnsi="Times New Roman" w:cs="Times New Roman"/>
      <w:sz w:val="20"/>
      <w:szCs w:val="20"/>
    </w:rPr>
  </w:style>
  <w:style w:type="character" w:styleId="FootnoteReference">
    <w:name w:val="footnote reference"/>
    <w:basedOn w:val="DefaultParagraphFont"/>
    <w:uiPriority w:val="99"/>
    <w:semiHidden/>
    <w:rsid w:val="00645CB0"/>
    <w:rPr>
      <w:rFonts w:cs="Times New Roman"/>
      <w:vertAlign w:val="superscript"/>
    </w:rPr>
  </w:style>
  <w:style w:type="paragraph" w:styleId="Header">
    <w:name w:val="header"/>
    <w:basedOn w:val="Normal"/>
    <w:link w:val="HeaderChar"/>
    <w:uiPriority w:val="99"/>
    <w:rsid w:val="007D6A9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7D6A9E"/>
    <w:rPr>
      <w:rFonts w:ascii="Calibri" w:eastAsia="新細明體" w:hAnsi="Calibri" w:cs="Times New Roman"/>
      <w:sz w:val="20"/>
      <w:szCs w:val="20"/>
    </w:rPr>
  </w:style>
  <w:style w:type="paragraph" w:styleId="Footer">
    <w:name w:val="footer"/>
    <w:basedOn w:val="Normal"/>
    <w:link w:val="FooterChar"/>
    <w:uiPriority w:val="99"/>
    <w:rsid w:val="007D6A9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7D6A9E"/>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269</Words>
  <Characters>1534</Characters>
  <Application>Microsoft Office Outlook</Application>
  <DocSecurity>0</DocSecurity>
  <Lines>0</Lines>
  <Paragraphs>0</Paragraphs>
  <ScaleCrop>false</ScaleCrop>
  <Company>MOJ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法務部行政罰法諮詢小組</dc:title>
  <dc:subject/>
  <dc:creator>yun</dc:creator>
  <cp:keywords/>
  <dc:description/>
  <cp:lastModifiedBy>ycchang</cp:lastModifiedBy>
  <cp:revision>3</cp:revision>
  <dcterms:created xsi:type="dcterms:W3CDTF">2015-05-05T07:08:00Z</dcterms:created>
  <dcterms:modified xsi:type="dcterms:W3CDTF">2015-05-05T07:13:00Z</dcterms:modified>
</cp:coreProperties>
</file>