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C0A" w:rsidRDefault="00501C0A" w:rsidP="004062B0">
      <w:pPr>
        <w:pStyle w:val="a"/>
        <w:spacing w:line="240" w:lineRule="auto"/>
        <w:ind w:leftChars="0" w:left="0"/>
        <w:jc w:val="center"/>
        <w:rPr>
          <w:rFonts w:ascii="標楷體"/>
          <w:b/>
          <w:sz w:val="44"/>
          <w:szCs w:val="44"/>
        </w:rPr>
      </w:pPr>
      <w:r w:rsidRPr="006E28FB">
        <w:rPr>
          <w:rFonts w:ascii="標楷體" w:hAnsi="標楷體" w:hint="eastAsia"/>
          <w:b/>
          <w:sz w:val="44"/>
          <w:szCs w:val="44"/>
        </w:rPr>
        <w:t>法務部行政罰法諮詢小組</w:t>
      </w:r>
    </w:p>
    <w:p w:rsidR="00501C0A" w:rsidRDefault="00501C0A" w:rsidP="004062B0">
      <w:pPr>
        <w:jc w:val="center"/>
        <w:rPr>
          <w:rFonts w:ascii="標楷體" w:eastAsia="標楷體" w:hAnsi="標楷體"/>
          <w:b/>
          <w:sz w:val="44"/>
          <w:szCs w:val="44"/>
        </w:rPr>
      </w:pPr>
      <w:r w:rsidRPr="006E28FB">
        <w:rPr>
          <w:rFonts w:ascii="標楷體" w:eastAsia="標楷體" w:hAnsi="標楷體" w:hint="eastAsia"/>
          <w:b/>
          <w:sz w:val="44"/>
          <w:szCs w:val="44"/>
        </w:rPr>
        <w:t>第</w:t>
      </w:r>
      <w:r>
        <w:rPr>
          <w:rFonts w:ascii="標楷體" w:eastAsia="標楷體" w:hAnsi="標楷體"/>
          <w:b/>
          <w:sz w:val="44"/>
          <w:szCs w:val="44"/>
        </w:rPr>
        <w:t>3</w:t>
      </w:r>
      <w:r w:rsidRPr="006E28FB">
        <w:rPr>
          <w:rFonts w:ascii="標楷體" w:eastAsia="標楷體" w:hAnsi="標楷體" w:hint="eastAsia"/>
          <w:b/>
          <w:sz w:val="44"/>
          <w:szCs w:val="44"/>
        </w:rPr>
        <w:t>次會議紀錄</w:t>
      </w:r>
    </w:p>
    <w:p w:rsidR="00501C0A" w:rsidRPr="006E28FB" w:rsidRDefault="00501C0A" w:rsidP="004062B0">
      <w:pPr>
        <w:spacing w:line="420" w:lineRule="exact"/>
        <w:jc w:val="center"/>
        <w:rPr>
          <w:rFonts w:ascii="標楷體" w:eastAsia="標楷體" w:hAnsi="標楷體"/>
          <w:b/>
          <w:sz w:val="16"/>
          <w:szCs w:val="16"/>
        </w:rPr>
      </w:pPr>
    </w:p>
    <w:p w:rsidR="00501C0A" w:rsidRPr="00D25361" w:rsidRDefault="00501C0A" w:rsidP="004062B0">
      <w:pPr>
        <w:spacing w:line="420" w:lineRule="exact"/>
        <w:rPr>
          <w:rFonts w:ascii="標楷體" w:eastAsia="標楷體" w:hAnsi="標楷體"/>
          <w:b/>
          <w:szCs w:val="24"/>
        </w:rPr>
      </w:pPr>
      <w:r w:rsidRPr="00D25361">
        <w:rPr>
          <w:rFonts w:ascii="標楷體" w:eastAsia="標楷體" w:hAnsi="標楷體" w:hint="eastAsia"/>
          <w:b/>
          <w:szCs w:val="24"/>
        </w:rPr>
        <w:t>壹、時間﹕</w:t>
      </w:r>
      <w:r w:rsidRPr="00D25361">
        <w:rPr>
          <w:rFonts w:ascii="標楷體" w:eastAsia="標楷體" w:hAnsi="標楷體"/>
          <w:b/>
          <w:szCs w:val="24"/>
        </w:rPr>
        <w:t xml:space="preserve">95 </w:t>
      </w:r>
      <w:r w:rsidRPr="00D25361">
        <w:rPr>
          <w:rFonts w:ascii="標楷體" w:eastAsia="標楷體" w:hAnsi="標楷體" w:hint="eastAsia"/>
          <w:b/>
          <w:szCs w:val="24"/>
        </w:rPr>
        <w:t>年</w:t>
      </w:r>
      <w:r w:rsidRPr="00D25361">
        <w:rPr>
          <w:rFonts w:ascii="標楷體" w:eastAsia="標楷體" w:hAnsi="標楷體"/>
          <w:b/>
          <w:szCs w:val="24"/>
        </w:rPr>
        <w:t xml:space="preserve">1 </w:t>
      </w:r>
      <w:r w:rsidRPr="00D25361">
        <w:rPr>
          <w:rFonts w:ascii="標楷體" w:eastAsia="標楷體" w:hAnsi="標楷體" w:hint="eastAsia"/>
          <w:b/>
          <w:szCs w:val="24"/>
        </w:rPr>
        <w:t>月</w:t>
      </w:r>
      <w:r w:rsidRPr="00D25361">
        <w:rPr>
          <w:rFonts w:ascii="標楷體" w:eastAsia="標楷體" w:hAnsi="標楷體"/>
          <w:b/>
          <w:szCs w:val="24"/>
        </w:rPr>
        <w:t xml:space="preserve">20 </w:t>
      </w:r>
      <w:r w:rsidRPr="00D25361">
        <w:rPr>
          <w:rFonts w:ascii="標楷體" w:eastAsia="標楷體" w:hAnsi="標楷體" w:hint="eastAsia"/>
          <w:b/>
          <w:szCs w:val="24"/>
        </w:rPr>
        <w:t>日（星期</w:t>
      </w:r>
      <w:r w:rsidRPr="00D25361">
        <w:rPr>
          <w:rFonts w:ascii="標楷體" w:eastAsia="標楷體" w:hAnsi="標楷體"/>
          <w:b/>
          <w:szCs w:val="24"/>
        </w:rPr>
        <w:t>5</w:t>
      </w:r>
      <w:r w:rsidRPr="00D25361">
        <w:rPr>
          <w:rFonts w:ascii="標楷體" w:eastAsia="標楷體" w:hAnsi="標楷體" w:hint="eastAsia"/>
          <w:b/>
          <w:szCs w:val="24"/>
        </w:rPr>
        <w:t>）下午</w:t>
      </w:r>
      <w:r w:rsidRPr="00D25361">
        <w:rPr>
          <w:rFonts w:ascii="標楷體" w:eastAsia="標楷體" w:hAnsi="標楷體"/>
          <w:b/>
          <w:szCs w:val="24"/>
        </w:rPr>
        <w:t xml:space="preserve">2 </w:t>
      </w:r>
      <w:r w:rsidRPr="00D25361">
        <w:rPr>
          <w:rFonts w:ascii="標楷體" w:eastAsia="標楷體" w:hAnsi="標楷體" w:hint="eastAsia"/>
          <w:b/>
          <w:szCs w:val="24"/>
        </w:rPr>
        <w:t>時</w:t>
      </w:r>
      <w:r w:rsidRPr="00D25361">
        <w:rPr>
          <w:rFonts w:ascii="標楷體" w:eastAsia="標楷體" w:hAnsi="標楷體"/>
          <w:b/>
          <w:szCs w:val="24"/>
        </w:rPr>
        <w:t xml:space="preserve">30 </w:t>
      </w:r>
      <w:r w:rsidRPr="00D25361">
        <w:rPr>
          <w:rFonts w:ascii="標楷體" w:eastAsia="標楷體" w:hAnsi="標楷體" w:hint="eastAsia"/>
          <w:b/>
          <w:szCs w:val="24"/>
        </w:rPr>
        <w:t>分</w:t>
      </w:r>
    </w:p>
    <w:p w:rsidR="00501C0A" w:rsidRPr="00D25361" w:rsidRDefault="00501C0A" w:rsidP="004062B0">
      <w:pPr>
        <w:spacing w:line="420" w:lineRule="exact"/>
        <w:rPr>
          <w:rFonts w:ascii="標楷體" w:eastAsia="標楷體" w:hAnsi="標楷體"/>
          <w:b/>
          <w:szCs w:val="24"/>
        </w:rPr>
      </w:pPr>
      <w:r w:rsidRPr="00D25361">
        <w:rPr>
          <w:rFonts w:ascii="標楷體" w:eastAsia="標楷體" w:hAnsi="標楷體" w:hint="eastAsia"/>
          <w:b/>
          <w:szCs w:val="24"/>
        </w:rPr>
        <w:t>貳、地點：本部第</w:t>
      </w:r>
      <w:r w:rsidRPr="00D25361">
        <w:rPr>
          <w:rFonts w:ascii="標楷體" w:eastAsia="標楷體" w:hAnsi="標楷體"/>
          <w:b/>
          <w:bCs/>
          <w:szCs w:val="24"/>
        </w:rPr>
        <w:t xml:space="preserve">2 </w:t>
      </w:r>
      <w:r w:rsidRPr="00D25361">
        <w:rPr>
          <w:rFonts w:ascii="標楷體" w:eastAsia="標楷體" w:hAnsi="標楷體" w:hint="eastAsia"/>
          <w:b/>
          <w:szCs w:val="24"/>
        </w:rPr>
        <w:t>辦公室</w:t>
      </w:r>
      <w:r w:rsidRPr="00D25361">
        <w:rPr>
          <w:rFonts w:ascii="標楷體" w:eastAsia="標楷體" w:hAnsi="標楷體"/>
          <w:b/>
          <w:bCs/>
          <w:szCs w:val="24"/>
        </w:rPr>
        <w:t xml:space="preserve">B1 </w:t>
      </w:r>
      <w:r w:rsidRPr="00D25361">
        <w:rPr>
          <w:rFonts w:ascii="標楷體" w:eastAsia="標楷體" w:hAnsi="標楷體" w:hint="eastAsia"/>
          <w:b/>
          <w:szCs w:val="24"/>
        </w:rPr>
        <w:t>會議室</w:t>
      </w:r>
    </w:p>
    <w:p w:rsidR="00501C0A" w:rsidRPr="00D25361" w:rsidRDefault="00501C0A" w:rsidP="004062B0">
      <w:pPr>
        <w:spacing w:line="420" w:lineRule="exact"/>
        <w:rPr>
          <w:rFonts w:ascii="標楷體" w:eastAsia="標楷體" w:hAnsi="標楷體"/>
          <w:b/>
          <w:szCs w:val="24"/>
        </w:rPr>
      </w:pPr>
      <w:r w:rsidRPr="00D25361">
        <w:rPr>
          <w:rFonts w:ascii="標楷體" w:eastAsia="標楷體" w:hAnsi="標楷體" w:hint="eastAsia"/>
          <w:b/>
          <w:szCs w:val="24"/>
        </w:rPr>
        <w:t>參、主席：林委員錫堯（代理）</w:t>
      </w:r>
    </w:p>
    <w:p w:rsidR="00501C0A" w:rsidRPr="00D25361" w:rsidRDefault="00501C0A" w:rsidP="00600B51">
      <w:pPr>
        <w:spacing w:line="420" w:lineRule="exact"/>
        <w:ind w:left="425" w:hangingChars="177" w:hanging="425"/>
        <w:rPr>
          <w:rFonts w:ascii="標楷體" w:eastAsia="標楷體" w:hAnsi="標楷體"/>
          <w:szCs w:val="24"/>
        </w:rPr>
      </w:pPr>
      <w:r w:rsidRPr="00D25361">
        <w:rPr>
          <w:rFonts w:ascii="標楷體" w:eastAsia="標楷體" w:hAnsi="標楷體" w:hint="eastAsia"/>
          <w:b/>
          <w:szCs w:val="24"/>
        </w:rPr>
        <w:t>肆、出席人員：</w:t>
      </w:r>
      <w:r w:rsidRPr="00D25361">
        <w:rPr>
          <w:rFonts w:ascii="標楷體" w:eastAsia="標楷體" w:hAnsi="標楷體" w:hint="eastAsia"/>
          <w:szCs w:val="24"/>
        </w:rPr>
        <w:t>吳委員庚、林委員錫堯、林委員朝松、洪委員家殷、胡委員方新、姜委員素娥、張委員正勝、陳委員明堂、陳委員美伶、陳委員清秀、曾委員華松、黃委員綠星、黃委員璽君、董委員保城、藍委員獻林（以上諮詢委員依委員姓氏筆畫列序）</w:t>
      </w:r>
    </w:p>
    <w:p w:rsidR="00501C0A" w:rsidRPr="00D25361" w:rsidRDefault="00501C0A" w:rsidP="004062B0">
      <w:pPr>
        <w:spacing w:line="420" w:lineRule="exact"/>
        <w:rPr>
          <w:rFonts w:ascii="標楷體" w:eastAsia="標楷體" w:hAnsi="標楷體"/>
          <w:b/>
          <w:szCs w:val="24"/>
        </w:rPr>
      </w:pPr>
      <w:r w:rsidRPr="00D25361">
        <w:rPr>
          <w:rFonts w:ascii="標楷體" w:eastAsia="標楷體" w:hAnsi="標楷體" w:hint="eastAsia"/>
          <w:b/>
          <w:szCs w:val="24"/>
        </w:rPr>
        <w:t>伍、列席人員：如後附簽到簿</w:t>
      </w:r>
    </w:p>
    <w:p w:rsidR="00501C0A" w:rsidRPr="00D25361" w:rsidRDefault="00501C0A" w:rsidP="004062B0">
      <w:pPr>
        <w:spacing w:line="420" w:lineRule="exact"/>
        <w:rPr>
          <w:rFonts w:ascii="標楷體" w:eastAsia="標楷體" w:hAnsi="標楷體"/>
          <w:b/>
          <w:szCs w:val="24"/>
        </w:rPr>
      </w:pPr>
      <w:r w:rsidRPr="00D25361">
        <w:rPr>
          <w:rFonts w:ascii="標楷體" w:eastAsia="標楷體" w:hAnsi="標楷體" w:hint="eastAsia"/>
          <w:b/>
          <w:szCs w:val="24"/>
        </w:rPr>
        <w:t>陸、討論事項：</w:t>
      </w:r>
    </w:p>
    <w:p w:rsidR="00501C0A" w:rsidRPr="00D25361" w:rsidRDefault="00501C0A" w:rsidP="004062B0">
      <w:pPr>
        <w:spacing w:line="420" w:lineRule="exact"/>
        <w:ind w:leftChars="236" w:left="566"/>
        <w:rPr>
          <w:rFonts w:ascii="標楷體" w:eastAsia="標楷體" w:hAnsi="標楷體"/>
          <w:b/>
          <w:szCs w:val="24"/>
        </w:rPr>
      </w:pPr>
      <w:r w:rsidRPr="00D25361">
        <w:rPr>
          <w:rFonts w:ascii="標楷體" w:eastAsia="標楷體" w:hAnsi="標楷體" w:hint="eastAsia"/>
          <w:b/>
          <w:szCs w:val="24"/>
        </w:rPr>
        <w:t>一、問題：</w:t>
      </w:r>
    </w:p>
    <w:p w:rsidR="00501C0A" w:rsidRDefault="00501C0A" w:rsidP="00600B51">
      <w:pPr>
        <w:spacing w:line="420" w:lineRule="exact"/>
        <w:ind w:leftChars="236" w:left="1272" w:hangingChars="294" w:hanging="706"/>
        <w:rPr>
          <w:rFonts w:ascii="標楷體" w:eastAsia="標楷體" w:hAnsi="標楷體"/>
          <w:szCs w:val="24"/>
        </w:rPr>
      </w:pPr>
      <w:r w:rsidRPr="00D25361">
        <w:rPr>
          <w:rFonts w:ascii="標楷體" w:eastAsia="標楷體" w:hAnsi="標楷體" w:hint="eastAsia"/>
          <w:szCs w:val="24"/>
        </w:rPr>
        <w:t>（一）公法上金錢給付義務逾期未完納者，依法令或本於法令之處分所加徵滯納金其性質是否屬於行政罰疑義？</w:t>
      </w:r>
    </w:p>
    <w:p w:rsidR="00501C0A" w:rsidRPr="00D25361" w:rsidRDefault="00501C0A" w:rsidP="00600B51">
      <w:pPr>
        <w:spacing w:line="420" w:lineRule="exact"/>
        <w:ind w:leftChars="236" w:left="1272" w:hangingChars="294" w:hanging="706"/>
        <w:rPr>
          <w:rFonts w:ascii="標楷體" w:eastAsia="標楷體" w:hAnsi="標楷體"/>
          <w:szCs w:val="24"/>
        </w:rPr>
      </w:pPr>
      <w:r w:rsidRPr="00D25361">
        <w:rPr>
          <w:rFonts w:ascii="標楷體" w:eastAsia="標楷體" w:hAnsi="標楷體" w:hint="eastAsia"/>
          <w:szCs w:val="24"/>
        </w:rPr>
        <w:t>（二）行政罰法（以下簡稱本法）施行前違反行政法上義務之行為應受處罰而未經處罰者，於本法施行後裁處者，有無本法第</w:t>
      </w:r>
      <w:r w:rsidRPr="00D25361">
        <w:rPr>
          <w:rFonts w:ascii="標楷體" w:eastAsia="標楷體" w:hAnsi="標楷體"/>
          <w:szCs w:val="24"/>
        </w:rPr>
        <w:t xml:space="preserve">23 </w:t>
      </w:r>
      <w:r w:rsidRPr="00D25361">
        <w:rPr>
          <w:rFonts w:ascii="標楷體" w:eastAsia="標楷體" w:hAnsi="標楷體" w:hint="eastAsia"/>
          <w:szCs w:val="24"/>
        </w:rPr>
        <w:t>條之適用？</w:t>
      </w:r>
    </w:p>
    <w:p w:rsidR="00501C0A" w:rsidRPr="00D25361" w:rsidRDefault="00501C0A" w:rsidP="004062B0">
      <w:pPr>
        <w:spacing w:line="420" w:lineRule="exact"/>
        <w:ind w:leftChars="236" w:left="566"/>
        <w:rPr>
          <w:rFonts w:ascii="標楷體" w:eastAsia="標楷體" w:hAnsi="標楷體"/>
          <w:b/>
          <w:szCs w:val="24"/>
        </w:rPr>
      </w:pPr>
      <w:r w:rsidRPr="00D25361">
        <w:rPr>
          <w:rFonts w:ascii="標楷體" w:eastAsia="標楷體" w:hAnsi="標楷體" w:hint="eastAsia"/>
          <w:b/>
          <w:szCs w:val="24"/>
        </w:rPr>
        <w:t>二、問題說明：</w:t>
      </w:r>
    </w:p>
    <w:p w:rsidR="00501C0A" w:rsidRDefault="00501C0A" w:rsidP="00600B51">
      <w:pPr>
        <w:spacing w:line="420" w:lineRule="exact"/>
        <w:ind w:leftChars="237" w:left="1275" w:hangingChars="294" w:hanging="706"/>
        <w:rPr>
          <w:rFonts w:ascii="標楷體" w:eastAsia="標楷體" w:hAnsi="標楷體"/>
          <w:szCs w:val="24"/>
        </w:rPr>
      </w:pPr>
      <w:r w:rsidRPr="0024175C">
        <w:rPr>
          <w:rFonts w:ascii="標楷體" w:eastAsia="標楷體" w:hAnsi="標楷體" w:hint="eastAsia"/>
          <w:b/>
          <w:szCs w:val="24"/>
        </w:rPr>
        <w:t>（一）討論事項（一）</w:t>
      </w:r>
      <w:r w:rsidRPr="00D25361">
        <w:rPr>
          <w:rFonts w:ascii="標楷體" w:eastAsia="標楷體" w:hAnsi="標楷體" w:hint="eastAsia"/>
          <w:szCs w:val="24"/>
        </w:rPr>
        <w:t>：按義務人依法令或本於法令之處分負有行政法上金錢給付義務，逾期未履行，依法律規定，應加徵滯納金者，該滯納金之性質究是否屬行政罰？可能有下列不同見解，因涉及有無行政罰法規定之適用，爰提會討論。</w:t>
      </w:r>
    </w:p>
    <w:p w:rsidR="00501C0A" w:rsidRPr="00D25361" w:rsidRDefault="00501C0A" w:rsidP="00600B51">
      <w:pPr>
        <w:spacing w:line="420" w:lineRule="exact"/>
        <w:ind w:leftChars="237" w:left="1275" w:hangingChars="294" w:hanging="706"/>
        <w:rPr>
          <w:rFonts w:ascii="標楷體" w:eastAsia="標楷體" w:hAnsi="標楷體"/>
          <w:szCs w:val="24"/>
        </w:rPr>
      </w:pPr>
      <w:r w:rsidRPr="0024175C">
        <w:rPr>
          <w:rFonts w:ascii="標楷體" w:eastAsia="標楷體" w:hAnsi="標楷體" w:hint="eastAsia"/>
          <w:b/>
          <w:szCs w:val="24"/>
        </w:rPr>
        <w:t>（二）討論事項（二）</w:t>
      </w:r>
      <w:r w:rsidRPr="00D25361">
        <w:rPr>
          <w:rFonts w:ascii="標楷體" w:eastAsia="標楷體" w:hAnsi="標楷體" w:hint="eastAsia"/>
          <w:szCs w:val="24"/>
        </w:rPr>
        <w:t>：不溯及既往係法律適用之一般基本原則，基於人民權利保障及信賴保護原則，對於人民不利益之法律規定尤然，本法制訂公布後，訂於</w:t>
      </w:r>
      <w:r w:rsidRPr="00D25361">
        <w:rPr>
          <w:rFonts w:ascii="標楷體" w:eastAsia="標楷體" w:hAnsi="標楷體"/>
          <w:szCs w:val="24"/>
        </w:rPr>
        <w:t xml:space="preserve">95 </w:t>
      </w:r>
      <w:r w:rsidRPr="00D25361">
        <w:rPr>
          <w:rFonts w:ascii="標楷體" w:eastAsia="標楷體" w:hAnsi="標楷體" w:hint="eastAsia"/>
          <w:szCs w:val="24"/>
        </w:rPr>
        <w:t>年</w:t>
      </w:r>
      <w:r w:rsidRPr="00D25361">
        <w:rPr>
          <w:rFonts w:ascii="標楷體" w:eastAsia="標楷體" w:hAnsi="標楷體"/>
          <w:szCs w:val="24"/>
        </w:rPr>
        <w:t xml:space="preserve">2 </w:t>
      </w:r>
      <w:r w:rsidRPr="00D25361">
        <w:rPr>
          <w:rFonts w:ascii="標楷體" w:eastAsia="標楷體" w:hAnsi="標楷體" w:hint="eastAsia"/>
          <w:szCs w:val="24"/>
        </w:rPr>
        <w:t>月</w:t>
      </w:r>
      <w:r w:rsidRPr="00D25361">
        <w:rPr>
          <w:rFonts w:ascii="標楷體" w:eastAsia="標楷體" w:hAnsi="標楷體"/>
          <w:szCs w:val="24"/>
        </w:rPr>
        <w:t xml:space="preserve">5 </w:t>
      </w:r>
      <w:r w:rsidRPr="00D25361">
        <w:rPr>
          <w:rFonts w:ascii="標楷體" w:eastAsia="標楷體" w:hAnsi="標楷體" w:hint="eastAsia"/>
          <w:szCs w:val="24"/>
        </w:rPr>
        <w:t>日施行，對於本法施行前違反行政法上義務之行為未經裁處者，本法施行後應如何處理，於本法第</w:t>
      </w:r>
      <w:r w:rsidRPr="00D25361">
        <w:rPr>
          <w:rFonts w:ascii="標楷體" w:eastAsia="標楷體" w:hAnsi="標楷體"/>
          <w:szCs w:val="24"/>
        </w:rPr>
        <w:t xml:space="preserve">45 </w:t>
      </w:r>
      <w:r w:rsidRPr="00D25361">
        <w:rPr>
          <w:rFonts w:ascii="標楷體" w:eastAsia="標楷體" w:hAnsi="標楷體" w:hint="eastAsia"/>
          <w:szCs w:val="24"/>
        </w:rPr>
        <w:t>條設有過渡條款，按該條第</w:t>
      </w:r>
      <w:r w:rsidRPr="00D25361">
        <w:rPr>
          <w:rFonts w:ascii="標楷體" w:eastAsia="標楷體" w:hAnsi="標楷體"/>
          <w:szCs w:val="24"/>
        </w:rPr>
        <w:t xml:space="preserve">1 </w:t>
      </w:r>
      <w:r w:rsidRPr="00D25361">
        <w:rPr>
          <w:rFonts w:ascii="標楷體" w:eastAsia="標楷體" w:hAnsi="標楷體" w:hint="eastAsia"/>
          <w:szCs w:val="24"/>
        </w:rPr>
        <w:t>項規定，是類情形原則溯及，例外予以排除（對人民不利益之部分），惟第</w:t>
      </w:r>
      <w:r w:rsidRPr="00D25361">
        <w:rPr>
          <w:rFonts w:ascii="標楷體" w:eastAsia="標楷體" w:hAnsi="標楷體"/>
          <w:szCs w:val="24"/>
        </w:rPr>
        <w:t xml:space="preserve">23 </w:t>
      </w:r>
      <w:r w:rsidRPr="00D25361">
        <w:rPr>
          <w:rFonts w:ascii="標楷體" w:eastAsia="標楷體" w:hAnsi="標楷體" w:hint="eastAsia"/>
          <w:szCs w:val="24"/>
        </w:rPr>
        <w:t>條（價值沒入及追徵價額</w:t>
      </w:r>
      <w:r w:rsidRPr="00D25361">
        <w:rPr>
          <w:rFonts w:ascii="標楷體" w:eastAsia="標楷體" w:hAnsi="標楷體"/>
          <w:szCs w:val="24"/>
        </w:rPr>
        <w:t>—</w:t>
      </w:r>
      <w:r w:rsidRPr="00D25361">
        <w:rPr>
          <w:rFonts w:ascii="標楷體" w:eastAsia="標楷體" w:hAnsi="標楷體" w:hint="eastAsia"/>
          <w:szCs w:val="24"/>
        </w:rPr>
        <w:t>對人民不利益</w:t>
      </w:r>
      <w:r w:rsidRPr="00D25361">
        <w:rPr>
          <w:rFonts w:ascii="標楷體" w:eastAsia="標楷體" w:hAnsi="標楷體"/>
          <w:szCs w:val="24"/>
        </w:rPr>
        <w:t>—</w:t>
      </w:r>
      <w:r w:rsidRPr="00D25361">
        <w:rPr>
          <w:rFonts w:ascii="標楷體" w:eastAsia="標楷體" w:hAnsi="標楷體" w:hint="eastAsia"/>
          <w:szCs w:val="24"/>
        </w:rPr>
        <w:t>因現行大</w:t>
      </w:r>
      <w:r w:rsidRPr="00D25361">
        <w:rPr>
          <w:rFonts w:ascii="標楷體" w:eastAsia="標楷體" w:hAnsi="標楷體"/>
          <w:szCs w:val="24"/>
        </w:rPr>
        <w:t>2</w:t>
      </w:r>
      <w:r w:rsidRPr="00D25361">
        <w:rPr>
          <w:rFonts w:ascii="標楷體" w:eastAsia="標楷體" w:hAnsi="標楷體" w:hint="eastAsia"/>
          <w:szCs w:val="24"/>
        </w:rPr>
        <w:t>部分個別行政法，多未設有此規定）規定，未予排除，未來本法施行後，此類案例如逕引本法第</w:t>
      </w:r>
      <w:r w:rsidRPr="00D25361">
        <w:rPr>
          <w:rFonts w:ascii="標楷體" w:eastAsia="標楷體" w:hAnsi="標楷體"/>
          <w:szCs w:val="24"/>
        </w:rPr>
        <w:t xml:space="preserve">23 </w:t>
      </w:r>
      <w:r w:rsidRPr="00D25361">
        <w:rPr>
          <w:rFonts w:ascii="標楷體" w:eastAsia="標楷體" w:hAnsi="標楷體" w:hint="eastAsia"/>
          <w:szCs w:val="24"/>
        </w:rPr>
        <w:t>條規定裁處，恐生溯及既往之疑慮，爰引起就本法第</w:t>
      </w:r>
      <w:r w:rsidRPr="00D25361">
        <w:rPr>
          <w:rFonts w:ascii="標楷體" w:eastAsia="標楷體" w:hAnsi="標楷體"/>
          <w:szCs w:val="24"/>
        </w:rPr>
        <w:t xml:space="preserve">23 </w:t>
      </w:r>
      <w:r w:rsidRPr="00D25361">
        <w:rPr>
          <w:rFonts w:ascii="標楷體" w:eastAsia="標楷體" w:hAnsi="標楷體" w:hint="eastAsia"/>
          <w:szCs w:val="24"/>
        </w:rPr>
        <w:t>條應否被本法第</w:t>
      </w:r>
      <w:r w:rsidRPr="00D25361">
        <w:rPr>
          <w:rFonts w:ascii="標楷體" w:eastAsia="標楷體" w:hAnsi="標楷體"/>
          <w:szCs w:val="24"/>
        </w:rPr>
        <w:t xml:space="preserve">45 </w:t>
      </w:r>
      <w:r w:rsidRPr="00D25361">
        <w:rPr>
          <w:rFonts w:ascii="標楷體" w:eastAsia="標楷體" w:hAnsi="標楷體" w:hint="eastAsia"/>
          <w:szCs w:val="24"/>
        </w:rPr>
        <w:t>條第</w:t>
      </w:r>
      <w:r w:rsidRPr="00D25361">
        <w:rPr>
          <w:rFonts w:ascii="標楷體" w:eastAsia="標楷體" w:hAnsi="標楷體"/>
          <w:szCs w:val="24"/>
        </w:rPr>
        <w:t>1</w:t>
      </w:r>
      <w:r w:rsidRPr="00D25361">
        <w:rPr>
          <w:rFonts w:ascii="標楷體" w:eastAsia="標楷體" w:hAnsi="標楷體" w:hint="eastAsia"/>
          <w:szCs w:val="24"/>
        </w:rPr>
        <w:t>項排除於是類案件之適用爭議，爰提請討論。</w:t>
      </w:r>
    </w:p>
    <w:p w:rsidR="00501C0A" w:rsidRPr="00D25361" w:rsidRDefault="00501C0A" w:rsidP="004062B0">
      <w:pPr>
        <w:spacing w:line="420" w:lineRule="exact"/>
        <w:ind w:leftChars="236" w:left="566"/>
        <w:rPr>
          <w:rFonts w:ascii="標楷體" w:eastAsia="標楷體" w:hAnsi="標楷體"/>
          <w:b/>
          <w:szCs w:val="24"/>
        </w:rPr>
      </w:pPr>
      <w:r w:rsidRPr="00D25361">
        <w:rPr>
          <w:rFonts w:ascii="標楷體" w:eastAsia="標楷體" w:hAnsi="標楷體" w:hint="eastAsia"/>
          <w:b/>
          <w:szCs w:val="24"/>
        </w:rPr>
        <w:t>三、法律事務司初步研究意見：</w:t>
      </w:r>
    </w:p>
    <w:p w:rsidR="00501C0A" w:rsidRPr="00D25361" w:rsidRDefault="00501C0A" w:rsidP="00600B51">
      <w:pPr>
        <w:spacing w:line="420" w:lineRule="exact"/>
        <w:ind w:leftChars="100" w:left="240" w:firstLineChars="136" w:firstLine="327"/>
        <w:rPr>
          <w:rFonts w:ascii="標楷體" w:eastAsia="標楷體" w:hAnsi="標楷體"/>
          <w:b/>
          <w:szCs w:val="24"/>
        </w:rPr>
      </w:pPr>
      <w:r w:rsidRPr="00D25361">
        <w:rPr>
          <w:rFonts w:ascii="標楷體" w:eastAsia="標楷體" w:hAnsi="標楷體" w:hint="eastAsia"/>
          <w:b/>
          <w:szCs w:val="24"/>
        </w:rPr>
        <w:t>（一）討論事項（一）：</w:t>
      </w:r>
    </w:p>
    <w:p w:rsidR="00501C0A" w:rsidRDefault="00501C0A" w:rsidP="00600B51">
      <w:pPr>
        <w:spacing w:line="420" w:lineRule="exact"/>
        <w:ind w:leftChars="295" w:left="794" w:hangingChars="36" w:hanging="86"/>
        <w:rPr>
          <w:rFonts w:ascii="標楷體" w:eastAsia="標楷體" w:hAnsi="標楷體"/>
          <w:b/>
          <w:szCs w:val="24"/>
        </w:rPr>
      </w:pPr>
      <w:r w:rsidRPr="00D25361">
        <w:rPr>
          <w:rFonts w:ascii="標楷體" w:eastAsia="標楷體" w:hAnsi="標楷體" w:hint="eastAsia"/>
          <w:b/>
          <w:szCs w:val="24"/>
        </w:rPr>
        <w:t>甲說（遲延利息說）：</w:t>
      </w:r>
    </w:p>
    <w:p w:rsidR="00501C0A" w:rsidRPr="006A50B4" w:rsidRDefault="00501C0A" w:rsidP="004062B0">
      <w:pPr>
        <w:spacing w:line="420" w:lineRule="exact"/>
        <w:ind w:leftChars="332" w:left="797"/>
        <w:rPr>
          <w:rFonts w:ascii="標楷體" w:eastAsia="標楷體" w:hAnsi="標楷體"/>
          <w:szCs w:val="24"/>
        </w:rPr>
      </w:pPr>
      <w:r>
        <w:rPr>
          <w:rFonts w:ascii="標楷體" w:eastAsia="標楷體" w:hAnsi="標楷體"/>
          <w:szCs w:val="24"/>
        </w:rPr>
        <w:t xml:space="preserve">    </w:t>
      </w:r>
      <w:r w:rsidRPr="00D25361">
        <w:rPr>
          <w:rFonts w:ascii="標楷體" w:eastAsia="標楷體" w:hAnsi="標楷體" w:hint="eastAsia"/>
          <w:szCs w:val="24"/>
        </w:rPr>
        <w:t>按義務人依法令或本於法令之處分負有行政法上金錢給付義務，逾期未履行，依法律規定，應加徵滯納金者，係屬公法上金錢給付義務的遲延利息性質，因期間經過而當然發生，不具裁罰性。</w:t>
      </w:r>
    </w:p>
    <w:p w:rsidR="00501C0A" w:rsidRPr="00D25361" w:rsidRDefault="00501C0A" w:rsidP="00600B51">
      <w:pPr>
        <w:spacing w:line="420" w:lineRule="exact"/>
        <w:ind w:leftChars="295" w:left="794" w:hangingChars="36" w:hanging="86"/>
        <w:rPr>
          <w:rFonts w:ascii="標楷體" w:eastAsia="標楷體" w:hAnsi="標楷體"/>
          <w:b/>
          <w:szCs w:val="24"/>
        </w:rPr>
      </w:pPr>
      <w:r w:rsidRPr="00D25361">
        <w:rPr>
          <w:rFonts w:ascii="標楷體" w:eastAsia="標楷體" w:hAnsi="標楷體" w:hint="eastAsia"/>
          <w:b/>
          <w:szCs w:val="24"/>
        </w:rPr>
        <w:t>乙說（行政執行特別規定說）：</w:t>
      </w:r>
    </w:p>
    <w:p w:rsidR="00501C0A" w:rsidRPr="006A50B4" w:rsidRDefault="00501C0A" w:rsidP="004062B0">
      <w:pPr>
        <w:spacing w:line="420" w:lineRule="exact"/>
        <w:ind w:leftChars="332" w:left="797"/>
        <w:rPr>
          <w:rFonts w:ascii="標楷體" w:eastAsia="標楷體" w:hAnsi="標楷體"/>
          <w:szCs w:val="24"/>
        </w:rPr>
      </w:pPr>
      <w:r w:rsidRPr="006A50B4">
        <w:rPr>
          <w:rFonts w:ascii="標楷體" w:eastAsia="標楷體" w:hAnsi="標楷體" w:hint="eastAsia"/>
          <w:szCs w:val="24"/>
        </w:rPr>
        <w:t xml:space="preserve">　　按義務人依法令或本於法令之處分負有行政法上金錢給付義務，逾期未履行，本可依行政執行法規定移送行執行處強制執行，但法律特別規定加徵滯納金其目的係在促義務人自動履行義務，故屬行政強制執行特殊規定之措施，不具有裁罰性。</w:t>
      </w:r>
    </w:p>
    <w:p w:rsidR="00501C0A" w:rsidRPr="00D25361" w:rsidRDefault="00501C0A" w:rsidP="00600B51">
      <w:pPr>
        <w:spacing w:line="420" w:lineRule="exact"/>
        <w:ind w:leftChars="295" w:left="794" w:hangingChars="36" w:hanging="86"/>
        <w:rPr>
          <w:rFonts w:ascii="標楷體" w:eastAsia="標楷體" w:hAnsi="標楷體"/>
          <w:b/>
          <w:szCs w:val="24"/>
        </w:rPr>
      </w:pPr>
      <w:r w:rsidRPr="00D25361">
        <w:rPr>
          <w:rFonts w:ascii="標楷體" w:eastAsia="標楷體" w:hAnsi="標楷體" w:hint="eastAsia"/>
          <w:b/>
          <w:szCs w:val="24"/>
        </w:rPr>
        <w:t>丙說（行政罰說）：</w:t>
      </w:r>
    </w:p>
    <w:p w:rsidR="00501C0A" w:rsidRPr="00D25361" w:rsidRDefault="00501C0A" w:rsidP="004062B0">
      <w:pPr>
        <w:spacing w:line="420" w:lineRule="exact"/>
        <w:ind w:leftChars="332" w:left="797"/>
        <w:rPr>
          <w:rFonts w:ascii="標楷體" w:eastAsia="標楷體" w:hAnsi="標楷體"/>
          <w:szCs w:val="24"/>
        </w:rPr>
      </w:pPr>
      <w:r w:rsidRPr="00D25361">
        <w:rPr>
          <w:rFonts w:ascii="標楷體" w:eastAsia="標楷體" w:hAnsi="標楷體" w:hint="eastAsia"/>
          <w:szCs w:val="24"/>
        </w:rPr>
        <w:t xml:space="preserve">　　滯納金係義務人依法令或本於法令之處分負有行政法上金錢給付義務，因逾期未繳納，違反法定或本於法令之處分所定之行為義務（限期完納義務），所課予之不利益法律效果，除藉由加徵高額比例之滯納金以督促義務人儘速自動履行義務之目的外，仍不失其制裁之性質。</w:t>
      </w:r>
    </w:p>
    <w:p w:rsidR="00501C0A" w:rsidRPr="00D25361" w:rsidRDefault="00501C0A" w:rsidP="00600B51">
      <w:pPr>
        <w:spacing w:line="420" w:lineRule="exact"/>
        <w:ind w:leftChars="295" w:left="794" w:hangingChars="36" w:hanging="86"/>
        <w:rPr>
          <w:rFonts w:ascii="標楷體" w:eastAsia="標楷體" w:hAnsi="標楷體"/>
          <w:b/>
          <w:szCs w:val="24"/>
        </w:rPr>
      </w:pPr>
      <w:r w:rsidRPr="00D25361">
        <w:rPr>
          <w:rFonts w:ascii="標楷體" w:eastAsia="標楷體" w:hAnsi="標楷體" w:hint="eastAsia"/>
          <w:b/>
          <w:szCs w:val="24"/>
        </w:rPr>
        <w:t>丁說（行政執行特別規定兼有遲延利息說）：</w:t>
      </w:r>
    </w:p>
    <w:p w:rsidR="00501C0A" w:rsidRPr="00D25361" w:rsidRDefault="00501C0A" w:rsidP="004062B0">
      <w:pPr>
        <w:spacing w:line="420" w:lineRule="exact"/>
        <w:ind w:leftChars="332" w:left="797"/>
        <w:rPr>
          <w:rFonts w:ascii="標楷體" w:eastAsia="標楷體" w:hAnsi="標楷體"/>
          <w:szCs w:val="24"/>
        </w:rPr>
      </w:pPr>
      <w:r w:rsidRPr="00D25361">
        <w:rPr>
          <w:rFonts w:ascii="標楷體" w:eastAsia="標楷體" w:hAnsi="標楷體" w:hint="eastAsia"/>
          <w:szCs w:val="24"/>
        </w:rPr>
        <w:t xml:space="preserve">　　滯納金主要目的在於督促履行；同時兼具有遲延利息之損害賠償性質。</w:t>
      </w:r>
    </w:p>
    <w:p w:rsidR="00501C0A" w:rsidRPr="00D25361" w:rsidRDefault="00501C0A" w:rsidP="00600B51">
      <w:pPr>
        <w:spacing w:line="420" w:lineRule="exact"/>
        <w:ind w:leftChars="295" w:left="794" w:hangingChars="36" w:hanging="86"/>
        <w:rPr>
          <w:rFonts w:ascii="標楷體" w:eastAsia="標楷體" w:hAnsi="標楷體"/>
          <w:b/>
          <w:szCs w:val="24"/>
        </w:rPr>
      </w:pPr>
      <w:r w:rsidRPr="00D25361">
        <w:rPr>
          <w:rFonts w:ascii="標楷體" w:eastAsia="標楷體" w:hAnsi="標楷體" w:hint="eastAsia"/>
          <w:b/>
          <w:szCs w:val="24"/>
        </w:rPr>
        <w:t>戊說（立法原意說）：</w:t>
      </w:r>
    </w:p>
    <w:p w:rsidR="00501C0A" w:rsidRPr="00D25361" w:rsidRDefault="00501C0A" w:rsidP="004062B0">
      <w:pPr>
        <w:spacing w:line="420" w:lineRule="exact"/>
        <w:ind w:leftChars="332" w:left="797"/>
        <w:rPr>
          <w:rFonts w:ascii="標楷體" w:eastAsia="標楷體" w:hAnsi="標楷體"/>
          <w:szCs w:val="24"/>
        </w:rPr>
      </w:pPr>
      <w:r w:rsidRPr="00D25361">
        <w:rPr>
          <w:rFonts w:ascii="標楷體" w:eastAsia="標楷體" w:hAnsi="標楷體" w:hint="eastAsia"/>
          <w:szCs w:val="24"/>
        </w:rPr>
        <w:t xml:space="preserve">　　依立法原意而定。</w:t>
      </w:r>
    </w:p>
    <w:p w:rsidR="00501C0A" w:rsidRPr="00D25361" w:rsidRDefault="00501C0A" w:rsidP="00600B51">
      <w:pPr>
        <w:spacing w:line="420" w:lineRule="exact"/>
        <w:ind w:leftChars="100" w:left="240" w:firstLineChars="136" w:firstLine="327"/>
        <w:rPr>
          <w:rFonts w:ascii="標楷體" w:eastAsia="標楷體" w:hAnsi="標楷體"/>
          <w:b/>
          <w:szCs w:val="24"/>
        </w:rPr>
      </w:pPr>
      <w:r w:rsidRPr="00D25361">
        <w:rPr>
          <w:rFonts w:ascii="標楷體" w:eastAsia="標楷體" w:hAnsi="標楷體" w:hint="eastAsia"/>
          <w:b/>
          <w:szCs w:val="24"/>
        </w:rPr>
        <w:t>（二）討論事項（二）：</w:t>
      </w:r>
    </w:p>
    <w:p w:rsidR="00501C0A" w:rsidRPr="00D25361" w:rsidRDefault="00501C0A" w:rsidP="00600B51">
      <w:pPr>
        <w:spacing w:line="420" w:lineRule="exact"/>
        <w:ind w:leftChars="295" w:left="794" w:hangingChars="36" w:hanging="86"/>
        <w:rPr>
          <w:rFonts w:ascii="標楷體" w:eastAsia="標楷體" w:hAnsi="標楷體"/>
          <w:b/>
          <w:szCs w:val="24"/>
        </w:rPr>
      </w:pPr>
      <w:r w:rsidRPr="00D25361">
        <w:rPr>
          <w:rFonts w:ascii="標楷體" w:eastAsia="標楷體" w:hAnsi="標楷體" w:hint="eastAsia"/>
          <w:b/>
          <w:szCs w:val="24"/>
        </w:rPr>
        <w:t>甲說（肯定說</w:t>
      </w:r>
      <w:r w:rsidRPr="00D25361">
        <w:rPr>
          <w:rFonts w:ascii="標楷體" w:eastAsia="標楷體" w:hAnsi="標楷體"/>
          <w:b/>
          <w:szCs w:val="24"/>
        </w:rPr>
        <w:t>—</w:t>
      </w:r>
      <w:r w:rsidRPr="00D25361">
        <w:rPr>
          <w:rFonts w:ascii="標楷體" w:eastAsia="標楷體" w:hAnsi="標楷體" w:hint="eastAsia"/>
          <w:b/>
          <w:szCs w:val="24"/>
        </w:rPr>
        <w:t>排除本法第</w:t>
      </w:r>
      <w:r w:rsidRPr="00D25361">
        <w:rPr>
          <w:rFonts w:ascii="標楷體" w:eastAsia="標楷體" w:hAnsi="標楷體"/>
          <w:b/>
          <w:szCs w:val="24"/>
        </w:rPr>
        <w:t>23</w:t>
      </w:r>
      <w:r w:rsidRPr="00D25361">
        <w:rPr>
          <w:rFonts w:ascii="標楷體" w:eastAsia="標楷體" w:hAnsi="標楷體" w:hint="eastAsia"/>
          <w:b/>
          <w:szCs w:val="24"/>
        </w:rPr>
        <w:t>條之適用）：</w:t>
      </w:r>
    </w:p>
    <w:p w:rsidR="00501C0A" w:rsidRPr="00D25361" w:rsidRDefault="00501C0A" w:rsidP="00600B51">
      <w:pPr>
        <w:spacing w:line="420" w:lineRule="exact"/>
        <w:ind w:leftChars="332" w:left="797" w:firstLineChars="22" w:firstLine="53"/>
        <w:rPr>
          <w:rFonts w:ascii="標楷體" w:eastAsia="標楷體" w:hAnsi="標楷體"/>
          <w:szCs w:val="24"/>
        </w:rPr>
      </w:pPr>
      <w:r w:rsidRPr="00D25361">
        <w:rPr>
          <w:rFonts w:ascii="標楷體" w:eastAsia="標楷體" w:hAnsi="標楷體" w:hint="eastAsia"/>
          <w:szCs w:val="24"/>
        </w:rPr>
        <w:t xml:space="preserve">　　基於人民權利保障及信賴保護原則，對於人民不利益之法律規定，法律適用不溯及既往之一般基本原則更應被嚴格遵守，本法之規定亦不利外，是以，本法第</w:t>
      </w:r>
      <w:r w:rsidRPr="00D25361">
        <w:rPr>
          <w:rFonts w:ascii="標楷體" w:eastAsia="標楷體" w:hAnsi="標楷體"/>
          <w:szCs w:val="24"/>
        </w:rPr>
        <w:t>45</w:t>
      </w:r>
      <w:r w:rsidRPr="00D25361">
        <w:rPr>
          <w:rFonts w:ascii="標楷體" w:eastAsia="標楷體" w:hAnsi="標楷體" w:hint="eastAsia"/>
          <w:szCs w:val="24"/>
        </w:rPr>
        <w:t>條第</w:t>
      </w:r>
      <w:r w:rsidRPr="00D25361">
        <w:rPr>
          <w:rFonts w:ascii="標楷體" w:eastAsia="標楷體" w:hAnsi="標楷體"/>
          <w:szCs w:val="24"/>
        </w:rPr>
        <w:t>1</w:t>
      </w:r>
      <w:r w:rsidRPr="00D25361">
        <w:rPr>
          <w:rFonts w:ascii="標楷體" w:eastAsia="標楷體" w:hAnsi="標楷體" w:hint="eastAsia"/>
          <w:szCs w:val="24"/>
        </w:rPr>
        <w:t>項所以排除本法第</w:t>
      </w:r>
      <w:r w:rsidRPr="00D25361">
        <w:rPr>
          <w:rFonts w:ascii="標楷體" w:eastAsia="標楷體" w:hAnsi="標楷體"/>
          <w:szCs w:val="24"/>
        </w:rPr>
        <w:t>15</w:t>
      </w:r>
      <w:r w:rsidRPr="00D25361">
        <w:rPr>
          <w:rFonts w:ascii="標楷體" w:eastAsia="標楷體" w:hAnsi="標楷體" w:hint="eastAsia"/>
          <w:szCs w:val="24"/>
        </w:rPr>
        <w:t>條、第</w:t>
      </w:r>
      <w:r w:rsidRPr="00D25361">
        <w:rPr>
          <w:rFonts w:ascii="標楷體" w:eastAsia="標楷體" w:hAnsi="標楷體"/>
          <w:szCs w:val="24"/>
        </w:rPr>
        <w:t>16</w:t>
      </w:r>
      <w:r w:rsidRPr="00D25361">
        <w:rPr>
          <w:rFonts w:ascii="標楷體" w:eastAsia="標楷體" w:hAnsi="標楷體" w:hint="eastAsia"/>
          <w:szCs w:val="24"/>
        </w:rPr>
        <w:t>條、第</w:t>
      </w:r>
      <w:r w:rsidRPr="00D25361">
        <w:rPr>
          <w:rFonts w:ascii="標楷體" w:eastAsia="標楷體" w:hAnsi="標楷體"/>
          <w:szCs w:val="24"/>
        </w:rPr>
        <w:t>18</w:t>
      </w:r>
      <w:r w:rsidRPr="00D25361">
        <w:rPr>
          <w:rFonts w:ascii="標楷體" w:eastAsia="標楷體" w:hAnsi="標楷體" w:hint="eastAsia"/>
          <w:szCs w:val="24"/>
        </w:rPr>
        <w:t>條第</w:t>
      </w:r>
      <w:r w:rsidRPr="00D25361">
        <w:rPr>
          <w:rFonts w:ascii="標楷體" w:eastAsia="標楷體" w:hAnsi="標楷體"/>
          <w:szCs w:val="24"/>
        </w:rPr>
        <w:t>2</w:t>
      </w:r>
      <w:r w:rsidRPr="00D25361">
        <w:rPr>
          <w:rFonts w:ascii="標楷體" w:eastAsia="標楷體" w:hAnsi="標楷體" w:hint="eastAsia"/>
          <w:szCs w:val="24"/>
        </w:rPr>
        <w:t>項、第</w:t>
      </w:r>
      <w:r w:rsidRPr="00D25361">
        <w:rPr>
          <w:rFonts w:ascii="標楷體" w:eastAsia="標楷體" w:hAnsi="標楷體"/>
          <w:szCs w:val="24"/>
        </w:rPr>
        <w:t>20</w:t>
      </w:r>
      <w:r w:rsidRPr="00D25361">
        <w:rPr>
          <w:rFonts w:ascii="標楷體" w:eastAsia="標楷體" w:hAnsi="標楷體" w:hint="eastAsia"/>
          <w:szCs w:val="24"/>
        </w:rPr>
        <w:t>條及第</w:t>
      </w:r>
      <w:r w:rsidRPr="00D25361">
        <w:rPr>
          <w:rFonts w:ascii="標楷體" w:eastAsia="標楷體" w:hAnsi="標楷體"/>
          <w:szCs w:val="24"/>
        </w:rPr>
        <w:t>22</w:t>
      </w:r>
      <w:r w:rsidRPr="00D25361">
        <w:rPr>
          <w:rFonts w:ascii="標楷體" w:eastAsia="標楷體" w:hAnsi="標楷體" w:hint="eastAsia"/>
          <w:szCs w:val="24"/>
        </w:rPr>
        <w:t>條，亦同此意旨，本法第</w:t>
      </w:r>
      <w:r w:rsidRPr="00D25361">
        <w:rPr>
          <w:rFonts w:ascii="標楷體" w:eastAsia="標楷體" w:hAnsi="標楷體"/>
          <w:szCs w:val="24"/>
        </w:rPr>
        <w:t>45</w:t>
      </w:r>
      <w:r w:rsidRPr="00D25361">
        <w:rPr>
          <w:rFonts w:ascii="標楷體" w:eastAsia="標楷體" w:hAnsi="標楷體" w:hint="eastAsia"/>
          <w:szCs w:val="24"/>
        </w:rPr>
        <w:t>條第</w:t>
      </w:r>
      <w:r w:rsidRPr="00D25361">
        <w:rPr>
          <w:rFonts w:ascii="標楷體" w:eastAsia="標楷體" w:hAnsi="標楷體"/>
          <w:szCs w:val="24"/>
        </w:rPr>
        <w:t>1</w:t>
      </w:r>
      <w:r w:rsidRPr="00D25361">
        <w:rPr>
          <w:rFonts w:ascii="標楷體" w:eastAsia="標楷體" w:hAnsi="標楷體" w:hint="eastAsia"/>
          <w:szCs w:val="24"/>
        </w:rPr>
        <w:t>項所列各條（項）僅為例示，並除此之外，其他條文不利於本法施行前違反行政義務行為人且未經裁處者，本法施行後，第</w:t>
      </w:r>
      <w:r w:rsidRPr="00D25361">
        <w:rPr>
          <w:rFonts w:ascii="標楷體" w:eastAsia="標楷體" w:hAnsi="標楷體"/>
          <w:szCs w:val="24"/>
        </w:rPr>
        <w:t>23</w:t>
      </w:r>
      <w:r w:rsidRPr="00D25361">
        <w:rPr>
          <w:rFonts w:ascii="標楷體" w:eastAsia="標楷體" w:hAnsi="標楷體" w:hint="eastAsia"/>
          <w:szCs w:val="24"/>
        </w:rPr>
        <w:t>條對於違反行政法上義務之行為人亦應被排除，不應予適用而據以裁處。</w:t>
      </w:r>
    </w:p>
    <w:p w:rsidR="00501C0A" w:rsidRPr="00D25361" w:rsidRDefault="00501C0A" w:rsidP="00600B51">
      <w:pPr>
        <w:spacing w:line="420" w:lineRule="exact"/>
        <w:ind w:leftChars="295" w:left="794" w:hangingChars="36" w:hanging="86"/>
        <w:rPr>
          <w:rFonts w:ascii="標楷體" w:eastAsia="標楷體" w:hAnsi="標楷體"/>
          <w:b/>
          <w:szCs w:val="24"/>
        </w:rPr>
      </w:pPr>
      <w:r w:rsidRPr="00D25361">
        <w:rPr>
          <w:rFonts w:ascii="標楷體" w:eastAsia="標楷體" w:hAnsi="標楷體" w:hint="eastAsia"/>
          <w:b/>
          <w:szCs w:val="24"/>
        </w:rPr>
        <w:t>乙說（否定說</w:t>
      </w:r>
      <w:r w:rsidRPr="00D25361">
        <w:rPr>
          <w:rFonts w:ascii="標楷體" w:eastAsia="標楷體" w:hAnsi="標楷體"/>
          <w:b/>
          <w:szCs w:val="24"/>
        </w:rPr>
        <w:t>—</w:t>
      </w:r>
      <w:r w:rsidRPr="00D25361">
        <w:rPr>
          <w:rFonts w:ascii="標楷體" w:eastAsia="標楷體" w:hAnsi="標楷體" w:hint="eastAsia"/>
          <w:b/>
          <w:szCs w:val="24"/>
        </w:rPr>
        <w:t>未排除本法第</w:t>
      </w:r>
      <w:r w:rsidRPr="00D25361">
        <w:rPr>
          <w:rFonts w:ascii="標楷體" w:eastAsia="標楷體" w:hAnsi="標楷體"/>
          <w:b/>
          <w:szCs w:val="24"/>
        </w:rPr>
        <w:t>23</w:t>
      </w:r>
      <w:r w:rsidRPr="00D25361">
        <w:rPr>
          <w:rFonts w:ascii="標楷體" w:eastAsia="標楷體" w:hAnsi="標楷體" w:hint="eastAsia"/>
          <w:b/>
          <w:szCs w:val="24"/>
        </w:rPr>
        <w:t>條</w:t>
      </w:r>
      <w:r w:rsidRPr="00D25361">
        <w:rPr>
          <w:rFonts w:ascii="標楷體" w:eastAsia="標楷體" w:hAnsi="標楷體"/>
          <w:b/>
          <w:szCs w:val="24"/>
        </w:rPr>
        <w:t>—</w:t>
      </w:r>
      <w:r w:rsidRPr="00D25361">
        <w:rPr>
          <w:rFonts w:ascii="標楷體" w:eastAsia="標楷體" w:hAnsi="標楷體" w:hint="eastAsia"/>
          <w:b/>
          <w:szCs w:val="24"/>
        </w:rPr>
        <w:t>仍應適用）：</w:t>
      </w:r>
    </w:p>
    <w:p w:rsidR="00501C0A" w:rsidRPr="00D25361" w:rsidRDefault="00501C0A" w:rsidP="00600B51">
      <w:pPr>
        <w:spacing w:line="420" w:lineRule="exact"/>
        <w:ind w:leftChars="332" w:left="797" w:firstLineChars="22" w:firstLine="53"/>
        <w:rPr>
          <w:rFonts w:ascii="標楷體" w:eastAsia="標楷體" w:hAnsi="標楷體"/>
          <w:szCs w:val="24"/>
        </w:rPr>
      </w:pPr>
      <w:r w:rsidRPr="00D25361">
        <w:rPr>
          <w:rFonts w:ascii="標楷體" w:eastAsia="標楷體" w:hAnsi="標楷體" w:hint="eastAsia"/>
          <w:szCs w:val="24"/>
        </w:rPr>
        <w:t xml:space="preserve">　　法律不溯及既往，乃法律適用之基本原則，如認其事項有溯及適用之必要者，即應以法律明白規定，方有所依據，本法第</w:t>
      </w:r>
      <w:r w:rsidRPr="00D25361">
        <w:rPr>
          <w:rFonts w:ascii="標楷體" w:eastAsia="標楷體" w:hAnsi="標楷體"/>
          <w:szCs w:val="24"/>
        </w:rPr>
        <w:t>45</w:t>
      </w:r>
      <w:r w:rsidRPr="00D25361">
        <w:rPr>
          <w:rFonts w:ascii="標楷體" w:eastAsia="標楷體" w:hAnsi="標楷體" w:hint="eastAsia"/>
          <w:szCs w:val="24"/>
        </w:rPr>
        <w:t>條即本此原則而設，本法施行前違反行政法上義務之行為，於本法施行後裁處者，第</w:t>
      </w:r>
      <w:r w:rsidRPr="00D25361">
        <w:rPr>
          <w:rFonts w:ascii="標楷體" w:eastAsia="標楷體" w:hAnsi="標楷體"/>
          <w:szCs w:val="24"/>
        </w:rPr>
        <w:t>1</w:t>
      </w:r>
      <w:r w:rsidRPr="00D25361">
        <w:rPr>
          <w:rFonts w:ascii="標楷體" w:eastAsia="標楷體" w:hAnsi="標楷體" w:hint="eastAsia"/>
          <w:szCs w:val="24"/>
        </w:rPr>
        <w:t>項明定可適用本法裁處之，但相較於本法施行前，對行為人不利之本法第</w:t>
      </w:r>
      <w:r w:rsidRPr="00D25361">
        <w:rPr>
          <w:rFonts w:ascii="標楷體" w:eastAsia="標楷體" w:hAnsi="標楷體"/>
          <w:szCs w:val="24"/>
        </w:rPr>
        <w:t>15</w:t>
      </w:r>
      <w:r w:rsidRPr="00D25361">
        <w:rPr>
          <w:rFonts w:ascii="標楷體" w:eastAsia="標楷體" w:hAnsi="標楷體" w:hint="eastAsia"/>
          <w:szCs w:val="24"/>
        </w:rPr>
        <w:t>條、第</w:t>
      </w:r>
      <w:r w:rsidRPr="00D25361">
        <w:rPr>
          <w:rFonts w:ascii="標楷體" w:eastAsia="標楷體" w:hAnsi="標楷體"/>
          <w:szCs w:val="24"/>
        </w:rPr>
        <w:t>16</w:t>
      </w:r>
      <w:r w:rsidRPr="00D25361">
        <w:rPr>
          <w:rFonts w:ascii="標楷體" w:eastAsia="標楷體" w:hAnsi="標楷體" w:hint="eastAsia"/>
          <w:szCs w:val="24"/>
        </w:rPr>
        <w:t>條、第</w:t>
      </w:r>
      <w:r w:rsidRPr="00D25361">
        <w:rPr>
          <w:rFonts w:ascii="標楷體" w:eastAsia="標楷體" w:hAnsi="標楷體"/>
          <w:szCs w:val="24"/>
        </w:rPr>
        <w:t>18</w:t>
      </w:r>
      <w:r w:rsidRPr="00D25361">
        <w:rPr>
          <w:rFonts w:ascii="標楷體" w:eastAsia="標楷體" w:hAnsi="標楷體" w:hint="eastAsia"/>
          <w:szCs w:val="24"/>
        </w:rPr>
        <w:t>條第</w:t>
      </w:r>
      <w:r w:rsidRPr="00D25361">
        <w:rPr>
          <w:rFonts w:ascii="標楷體" w:eastAsia="標楷體" w:hAnsi="標楷體"/>
          <w:szCs w:val="24"/>
        </w:rPr>
        <w:t>2</w:t>
      </w:r>
      <w:r w:rsidRPr="00D25361">
        <w:rPr>
          <w:rFonts w:ascii="標楷體" w:eastAsia="標楷體" w:hAnsi="標楷體" w:hint="eastAsia"/>
          <w:szCs w:val="24"/>
        </w:rPr>
        <w:t>項、第</w:t>
      </w:r>
      <w:r w:rsidRPr="00D25361">
        <w:rPr>
          <w:rFonts w:ascii="標楷體" w:eastAsia="標楷體" w:hAnsi="標楷體"/>
          <w:szCs w:val="24"/>
        </w:rPr>
        <w:t>20</w:t>
      </w:r>
      <w:r w:rsidRPr="00D25361">
        <w:rPr>
          <w:rFonts w:ascii="標楷體" w:eastAsia="標楷體" w:hAnsi="標楷體" w:hint="eastAsia"/>
          <w:szCs w:val="24"/>
        </w:rPr>
        <w:t>條及第</w:t>
      </w:r>
      <w:r w:rsidRPr="00D25361">
        <w:rPr>
          <w:rFonts w:ascii="標楷體" w:eastAsia="標楷體" w:hAnsi="標楷體"/>
          <w:szCs w:val="24"/>
        </w:rPr>
        <w:t>22</w:t>
      </w:r>
      <w:r w:rsidRPr="00D25361">
        <w:rPr>
          <w:rFonts w:ascii="標楷體" w:eastAsia="標楷體" w:hAnsi="標楷體" w:hint="eastAsia"/>
          <w:szCs w:val="24"/>
        </w:rPr>
        <w:t>條則予排除適用，本法第</w:t>
      </w:r>
      <w:r w:rsidRPr="00D25361">
        <w:rPr>
          <w:rFonts w:ascii="標楷體" w:eastAsia="標楷體" w:hAnsi="標楷體"/>
          <w:szCs w:val="24"/>
        </w:rPr>
        <w:t>45</w:t>
      </w:r>
      <w:r w:rsidRPr="00D25361">
        <w:rPr>
          <w:rFonts w:ascii="標楷體" w:eastAsia="標楷體" w:hAnsi="標楷體" w:hint="eastAsia"/>
          <w:szCs w:val="24"/>
        </w:rPr>
        <w:t>條立法說明已有明文，係以列舉方式排除適用之規定，本法第</w:t>
      </w:r>
      <w:r w:rsidRPr="00D25361">
        <w:rPr>
          <w:rFonts w:ascii="標楷體" w:eastAsia="標楷體" w:hAnsi="標楷體"/>
          <w:szCs w:val="24"/>
        </w:rPr>
        <w:t>23</w:t>
      </w:r>
      <w:r w:rsidRPr="00D25361">
        <w:rPr>
          <w:rFonts w:ascii="標楷體" w:eastAsia="標楷體" w:hAnsi="標楷體" w:hint="eastAsia"/>
          <w:szCs w:val="24"/>
        </w:rPr>
        <w:t>條既非在列舉之列，自不得排除。</w:t>
      </w:r>
    </w:p>
    <w:p w:rsidR="00501C0A" w:rsidRPr="00D25361" w:rsidRDefault="00501C0A" w:rsidP="004062B0">
      <w:pPr>
        <w:spacing w:line="420" w:lineRule="exact"/>
        <w:ind w:leftChars="295" w:left="794" w:hangingChars="36" w:hanging="86"/>
        <w:rPr>
          <w:rFonts w:ascii="標楷體" w:eastAsia="標楷體" w:hAnsi="標楷體"/>
          <w:b/>
          <w:szCs w:val="24"/>
        </w:rPr>
      </w:pPr>
      <w:r w:rsidRPr="00D25361">
        <w:rPr>
          <w:rFonts w:ascii="標楷體" w:eastAsia="標楷體" w:hAnsi="標楷體" w:hint="eastAsia"/>
          <w:b/>
          <w:szCs w:val="24"/>
        </w:rPr>
        <w:t>丙說（折衷說）：</w:t>
      </w:r>
    </w:p>
    <w:p w:rsidR="00501C0A" w:rsidRPr="00D25361" w:rsidRDefault="00501C0A" w:rsidP="004062B0">
      <w:pPr>
        <w:spacing w:line="420" w:lineRule="exact"/>
        <w:ind w:leftChars="332" w:left="797" w:firstLineChars="22" w:firstLine="53"/>
        <w:rPr>
          <w:rFonts w:ascii="標楷體" w:eastAsia="標楷體" w:hAnsi="標楷體"/>
          <w:szCs w:val="24"/>
        </w:rPr>
      </w:pPr>
      <w:r w:rsidRPr="00D25361">
        <w:rPr>
          <w:rFonts w:ascii="標楷體" w:eastAsia="標楷體" w:hAnsi="標楷體" w:hint="eastAsia"/>
          <w:szCs w:val="24"/>
        </w:rPr>
        <w:t xml:space="preserve">　　基於人民權利保障及信賴保護原則，對於人民不利益之法律規定，法律適用不溯及既往之一般基本原則應被遵守，惟本法第</w:t>
      </w:r>
      <w:r w:rsidRPr="00D25361">
        <w:rPr>
          <w:rFonts w:ascii="標楷體" w:eastAsia="標楷體" w:hAnsi="標楷體"/>
          <w:szCs w:val="24"/>
        </w:rPr>
        <w:t>45</w:t>
      </w:r>
      <w:r w:rsidRPr="00D25361">
        <w:rPr>
          <w:rFonts w:ascii="標楷體" w:eastAsia="標楷體" w:hAnsi="標楷體" w:hint="eastAsia"/>
          <w:szCs w:val="24"/>
        </w:rPr>
        <w:t>條第</w:t>
      </w:r>
      <w:r w:rsidRPr="00D25361">
        <w:rPr>
          <w:rFonts w:ascii="標楷體" w:eastAsia="標楷體" w:hAnsi="標楷體"/>
          <w:szCs w:val="24"/>
        </w:rPr>
        <w:t>1</w:t>
      </w:r>
      <w:r w:rsidRPr="00D25361">
        <w:rPr>
          <w:rFonts w:ascii="標楷體" w:eastAsia="標楷體" w:hAnsi="標楷體" w:hint="eastAsia"/>
          <w:szCs w:val="24"/>
        </w:rPr>
        <w:t>項規定，自立法說明觀之，該項係以明文列舉之方式作排除規定，並無疑義，且參酌本法制定研究制定委員會第</w:t>
      </w:r>
      <w:r w:rsidRPr="00D25361">
        <w:rPr>
          <w:rFonts w:ascii="標楷體" w:eastAsia="標楷體" w:hAnsi="標楷體"/>
          <w:szCs w:val="24"/>
        </w:rPr>
        <w:t>34</w:t>
      </w:r>
      <w:r w:rsidRPr="00D25361">
        <w:rPr>
          <w:rFonts w:ascii="標楷體" w:eastAsia="標楷體" w:hAnsi="標楷體" w:hint="eastAsia"/>
          <w:szCs w:val="24"/>
        </w:rPr>
        <w:t>次會議發言要旨，可確認立法原意係從人民權利保障出發，對於本法施行前違反行政法上義務之行為且未經裁處者，本法施行後，對受處罰者不利益部分予以排除適用，惟違反行政法上義務之行為在本法施行前，得沒入之物主管機關未依法裁處沒入（符合第</w:t>
      </w:r>
      <w:r w:rsidRPr="00D25361">
        <w:rPr>
          <w:rFonts w:ascii="標楷體" w:eastAsia="標楷體" w:hAnsi="標楷體"/>
          <w:szCs w:val="24"/>
        </w:rPr>
        <w:t>45</w:t>
      </w:r>
      <w:r w:rsidRPr="00D25361">
        <w:rPr>
          <w:rFonts w:ascii="標楷體" w:eastAsia="標楷體" w:hAnsi="標楷體" w:hint="eastAsia"/>
          <w:szCs w:val="24"/>
        </w:rPr>
        <w:t>條第</w:t>
      </w:r>
      <w:r w:rsidRPr="00D25361">
        <w:rPr>
          <w:rFonts w:ascii="標楷體" w:eastAsia="標楷體" w:hAnsi="標楷體"/>
          <w:szCs w:val="24"/>
        </w:rPr>
        <w:t>1</w:t>
      </w:r>
      <w:r w:rsidRPr="00D25361">
        <w:rPr>
          <w:rFonts w:ascii="標楷體" w:eastAsia="標楷體" w:hAnsi="標楷體" w:hint="eastAsia"/>
          <w:szCs w:val="24"/>
        </w:rPr>
        <w:t>項規定應受裁處而未裁處之情況），應視受處罰者或物之所有人，予以處分、使用或以他法致不能裁處沒入，是否亦於本法施行前所為而定：</w:t>
      </w:r>
    </w:p>
    <w:p w:rsidR="00501C0A" w:rsidRPr="00D25361" w:rsidRDefault="00501C0A" w:rsidP="004062B0">
      <w:pPr>
        <w:spacing w:line="420" w:lineRule="exact"/>
        <w:ind w:leftChars="354" w:left="1133" w:hangingChars="118" w:hanging="283"/>
        <w:rPr>
          <w:rFonts w:ascii="標楷體" w:eastAsia="標楷體" w:hAnsi="標楷體"/>
          <w:szCs w:val="24"/>
        </w:rPr>
      </w:pPr>
      <w:r w:rsidRPr="00D25361">
        <w:rPr>
          <w:rFonts w:ascii="標楷體" w:eastAsia="標楷體" w:hAnsi="標楷體"/>
          <w:szCs w:val="24"/>
        </w:rPr>
        <w:t>1.</w:t>
      </w:r>
      <w:r w:rsidRPr="00D25361">
        <w:rPr>
          <w:rFonts w:ascii="標楷體" w:eastAsia="標楷體" w:hAnsi="標楷體" w:hint="eastAsia"/>
          <w:szCs w:val="24"/>
        </w:rPr>
        <w:t>如係於本法施行前予以處分、使用或以他法致不能裁處沒入，依信賴保護及不溯及既往原則，即不得為價額沒入之裁處。</w:t>
      </w:r>
    </w:p>
    <w:p w:rsidR="00501C0A" w:rsidRDefault="00501C0A" w:rsidP="004062B0">
      <w:pPr>
        <w:spacing w:line="420" w:lineRule="exact"/>
        <w:ind w:leftChars="354" w:left="1133" w:hangingChars="118" w:hanging="283"/>
        <w:rPr>
          <w:rFonts w:ascii="標楷體" w:eastAsia="標楷體" w:hAnsi="標楷體"/>
          <w:szCs w:val="24"/>
        </w:rPr>
      </w:pPr>
      <w:r w:rsidRPr="00D25361">
        <w:rPr>
          <w:rFonts w:ascii="標楷體" w:eastAsia="標楷體" w:hAnsi="標楷體"/>
          <w:szCs w:val="24"/>
        </w:rPr>
        <w:t>2.</w:t>
      </w:r>
      <w:r w:rsidRPr="00D25361">
        <w:rPr>
          <w:rFonts w:ascii="標楷體" w:eastAsia="標楷體" w:hAnsi="標楷體" w:hint="eastAsia"/>
          <w:szCs w:val="24"/>
        </w:rPr>
        <w:t>如係於本法施行後始予以處分、使用或以他法致不能裁處沒入既係於本法施行後所為，主管機關仍應為價額沒入之裁處。</w:t>
      </w:r>
    </w:p>
    <w:p w:rsidR="00501C0A" w:rsidRPr="00D25361" w:rsidRDefault="00501C0A" w:rsidP="004062B0">
      <w:pPr>
        <w:spacing w:line="420" w:lineRule="exact"/>
        <w:ind w:leftChars="354" w:left="1133" w:hangingChars="118" w:hanging="283"/>
        <w:rPr>
          <w:rFonts w:ascii="標楷體" w:eastAsia="標楷體" w:hAnsi="標楷體"/>
          <w:szCs w:val="24"/>
        </w:rPr>
      </w:pPr>
    </w:p>
    <w:p w:rsidR="00501C0A" w:rsidRPr="00D25361" w:rsidRDefault="00501C0A" w:rsidP="004062B0">
      <w:pPr>
        <w:spacing w:line="420" w:lineRule="exact"/>
        <w:rPr>
          <w:rFonts w:ascii="標楷體" w:eastAsia="標楷體" w:hAnsi="標楷體"/>
          <w:b/>
          <w:szCs w:val="24"/>
        </w:rPr>
      </w:pPr>
      <w:r w:rsidRPr="00D25361">
        <w:rPr>
          <w:rFonts w:ascii="標楷體" w:eastAsia="標楷體" w:hAnsi="標楷體" w:hint="eastAsia"/>
          <w:b/>
          <w:szCs w:val="24"/>
        </w:rPr>
        <w:t>柒、會議結論：</w:t>
      </w:r>
    </w:p>
    <w:p w:rsidR="00501C0A" w:rsidRPr="00D25361" w:rsidRDefault="00501C0A" w:rsidP="004062B0">
      <w:pPr>
        <w:spacing w:line="420" w:lineRule="exact"/>
        <w:ind w:leftChars="236" w:left="566"/>
        <w:rPr>
          <w:rFonts w:ascii="標楷體" w:eastAsia="標楷體" w:hAnsi="標楷體"/>
          <w:b/>
          <w:szCs w:val="24"/>
        </w:rPr>
      </w:pPr>
      <w:r w:rsidRPr="00D25361">
        <w:rPr>
          <w:rFonts w:ascii="標楷體" w:eastAsia="標楷體" w:hAnsi="標楷體" w:hint="eastAsia"/>
          <w:b/>
          <w:szCs w:val="24"/>
        </w:rPr>
        <w:t>一、討論事項（一）：</w:t>
      </w:r>
    </w:p>
    <w:p w:rsidR="00501C0A" w:rsidRPr="00D25361" w:rsidRDefault="00501C0A" w:rsidP="004062B0">
      <w:pPr>
        <w:spacing w:line="420" w:lineRule="exact"/>
        <w:ind w:leftChars="295" w:left="1416" w:hangingChars="295" w:hanging="708"/>
        <w:rPr>
          <w:rFonts w:ascii="標楷體" w:eastAsia="標楷體" w:hAnsi="標楷體"/>
          <w:szCs w:val="24"/>
        </w:rPr>
      </w:pPr>
      <w:r w:rsidRPr="00D25361">
        <w:rPr>
          <w:rFonts w:ascii="標楷體" w:eastAsia="標楷體" w:hAnsi="標楷體" w:hint="eastAsia"/>
          <w:szCs w:val="24"/>
        </w:rPr>
        <w:t>（一）應視各法律之立法原意而定。多數委員認為滯納金不是現行行政罰法上之行政罰。</w:t>
      </w:r>
    </w:p>
    <w:p w:rsidR="00501C0A" w:rsidRPr="00D25361" w:rsidRDefault="00501C0A" w:rsidP="004062B0">
      <w:pPr>
        <w:spacing w:line="420" w:lineRule="exact"/>
        <w:ind w:leftChars="295" w:left="1416" w:hangingChars="295" w:hanging="708"/>
        <w:rPr>
          <w:rFonts w:ascii="標楷體" w:eastAsia="標楷體" w:hAnsi="標楷體"/>
          <w:szCs w:val="24"/>
        </w:rPr>
      </w:pPr>
      <w:r w:rsidRPr="00D25361">
        <w:rPr>
          <w:rFonts w:ascii="標楷體" w:eastAsia="標楷體" w:hAnsi="標楷體" w:hint="eastAsia"/>
          <w:szCs w:val="24"/>
        </w:rPr>
        <w:t>（二）未來各機關於解釋、適用法律規定之「滯納金」，或於研擬制訂新法或修法時，應留意並檢討其性質究應為何。</w:t>
      </w:r>
    </w:p>
    <w:p w:rsidR="00501C0A" w:rsidRPr="00D25361" w:rsidRDefault="00501C0A" w:rsidP="004062B0">
      <w:pPr>
        <w:spacing w:line="420" w:lineRule="exact"/>
        <w:ind w:leftChars="236" w:left="991" w:hangingChars="177" w:hanging="425"/>
        <w:rPr>
          <w:rFonts w:ascii="標楷體" w:eastAsia="標楷體" w:hAnsi="標楷體"/>
          <w:szCs w:val="24"/>
        </w:rPr>
      </w:pPr>
      <w:r w:rsidRPr="00D25361">
        <w:rPr>
          <w:rFonts w:ascii="標楷體" w:eastAsia="標楷體" w:hAnsi="標楷體" w:hint="eastAsia"/>
          <w:b/>
          <w:szCs w:val="24"/>
        </w:rPr>
        <w:t>二、討論事項（二）：</w:t>
      </w:r>
      <w:r w:rsidRPr="00D25361">
        <w:rPr>
          <w:rFonts w:ascii="標楷體" w:eastAsia="標楷體" w:hAnsi="標楷體" w:hint="eastAsia"/>
          <w:szCs w:val="24"/>
        </w:rPr>
        <w:t>贊成肯定說（甲說）：</w:t>
      </w:r>
      <w:r w:rsidRPr="00D25361">
        <w:rPr>
          <w:rFonts w:ascii="標楷體" w:eastAsia="標楷體" w:hAnsi="標楷體"/>
          <w:szCs w:val="24"/>
        </w:rPr>
        <w:t xml:space="preserve"> 5 </w:t>
      </w:r>
      <w:r w:rsidRPr="00D25361">
        <w:rPr>
          <w:rFonts w:ascii="標楷體" w:eastAsia="標楷體" w:hAnsi="標楷體" w:hint="eastAsia"/>
          <w:szCs w:val="24"/>
        </w:rPr>
        <w:t>位（洪家殷委員、陳美伶委員、董保城委員、黃綠星委員、蔡震榮委員）。贊成折衷說（丙說）：</w:t>
      </w:r>
      <w:r w:rsidRPr="00D25361">
        <w:rPr>
          <w:rFonts w:ascii="標楷體" w:eastAsia="標楷體" w:hAnsi="標楷體"/>
          <w:szCs w:val="24"/>
        </w:rPr>
        <w:t>8</w:t>
      </w:r>
      <w:r w:rsidRPr="00D25361">
        <w:rPr>
          <w:rFonts w:ascii="標楷體" w:eastAsia="標楷體" w:hAnsi="標楷體" w:hint="eastAsia"/>
          <w:szCs w:val="24"/>
        </w:rPr>
        <w:t>（陳清秀委員、吳庚委員、黃委員璽君、曾華松委員、胡方新委員、林錫堯委員、陳明堂委員、林朝松委員）以上依發言順序。多數委員贊成折衷說（丙說）。</w:t>
      </w:r>
    </w:p>
    <w:p w:rsidR="00501C0A" w:rsidRDefault="00501C0A" w:rsidP="004062B0">
      <w:pPr>
        <w:spacing w:line="420" w:lineRule="exact"/>
        <w:ind w:leftChars="236" w:left="566"/>
        <w:rPr>
          <w:rFonts w:ascii="標楷體" w:eastAsia="標楷體" w:hAnsi="標楷體"/>
          <w:b/>
          <w:szCs w:val="24"/>
        </w:rPr>
      </w:pPr>
      <w:r w:rsidRPr="00D25361">
        <w:rPr>
          <w:rFonts w:ascii="標楷體" w:eastAsia="標楷體" w:hAnsi="標楷體" w:hint="eastAsia"/>
          <w:b/>
          <w:szCs w:val="24"/>
        </w:rPr>
        <w:t>肯定說（甲說）：</w:t>
      </w:r>
    </w:p>
    <w:p w:rsidR="00501C0A" w:rsidRPr="00D25361" w:rsidRDefault="00501C0A" w:rsidP="004062B0">
      <w:pPr>
        <w:spacing w:line="420" w:lineRule="exact"/>
        <w:ind w:leftChars="236" w:left="566"/>
        <w:rPr>
          <w:rFonts w:ascii="標楷體" w:eastAsia="標楷體" w:hAnsi="標楷體"/>
          <w:szCs w:val="24"/>
        </w:rPr>
      </w:pPr>
      <w:r>
        <w:rPr>
          <w:rFonts w:ascii="標楷體" w:eastAsia="標楷體" w:hAnsi="標楷體"/>
          <w:b/>
          <w:szCs w:val="24"/>
        </w:rPr>
        <w:t xml:space="preserve">    </w:t>
      </w:r>
      <w:r w:rsidRPr="00D25361">
        <w:rPr>
          <w:rFonts w:ascii="標楷體" w:eastAsia="標楷體" w:hAnsi="標楷體" w:hint="eastAsia"/>
          <w:szCs w:val="24"/>
        </w:rPr>
        <w:t>本法第</w:t>
      </w:r>
      <w:r w:rsidRPr="00D25361">
        <w:rPr>
          <w:rFonts w:ascii="標楷體" w:eastAsia="標楷體" w:hAnsi="標楷體"/>
          <w:szCs w:val="24"/>
        </w:rPr>
        <w:t xml:space="preserve">45 </w:t>
      </w:r>
      <w:r w:rsidRPr="00D25361">
        <w:rPr>
          <w:rFonts w:ascii="標楷體" w:eastAsia="標楷體" w:hAnsi="標楷體" w:hint="eastAsia"/>
          <w:szCs w:val="24"/>
        </w:rPr>
        <w:t>條第</w:t>
      </w:r>
      <w:r w:rsidRPr="00D25361">
        <w:rPr>
          <w:rFonts w:ascii="標楷體" w:eastAsia="標楷體" w:hAnsi="標楷體"/>
          <w:szCs w:val="24"/>
        </w:rPr>
        <w:t xml:space="preserve">1 </w:t>
      </w:r>
      <w:r w:rsidRPr="00D25361">
        <w:rPr>
          <w:rFonts w:ascii="標楷體" w:eastAsia="標楷體" w:hAnsi="標楷體" w:hint="eastAsia"/>
          <w:szCs w:val="24"/>
        </w:rPr>
        <w:t>項所列各條（項）僅為例示，除此之外，其他條文不利於本法施行前違反行政義務行為人且未經裁處者，本法施行後，亦應予以排除其適用第</w:t>
      </w:r>
      <w:r w:rsidRPr="00D25361">
        <w:rPr>
          <w:rFonts w:ascii="標楷體" w:eastAsia="標楷體" w:hAnsi="標楷體"/>
          <w:szCs w:val="24"/>
        </w:rPr>
        <w:t xml:space="preserve">23 </w:t>
      </w:r>
      <w:r w:rsidRPr="00D25361">
        <w:rPr>
          <w:rFonts w:ascii="標楷體" w:eastAsia="標楷體" w:hAnsi="標楷體" w:hint="eastAsia"/>
          <w:szCs w:val="24"/>
        </w:rPr>
        <w:t>條對於違反行政法上義務之行為人亦應被排除，不應予適用而據以裁處。</w:t>
      </w:r>
    </w:p>
    <w:p w:rsidR="00501C0A" w:rsidRDefault="00501C0A" w:rsidP="004062B0">
      <w:pPr>
        <w:spacing w:line="420" w:lineRule="exact"/>
        <w:ind w:leftChars="236" w:left="566"/>
        <w:rPr>
          <w:rFonts w:ascii="標楷體" w:eastAsia="標楷體" w:hAnsi="標楷體"/>
          <w:b/>
          <w:szCs w:val="24"/>
        </w:rPr>
      </w:pPr>
      <w:r w:rsidRPr="00D25361">
        <w:rPr>
          <w:rFonts w:ascii="標楷體" w:eastAsia="標楷體" w:hAnsi="標楷體" w:hint="eastAsia"/>
          <w:b/>
          <w:szCs w:val="24"/>
        </w:rPr>
        <w:t>折衷說（丙說）：</w:t>
      </w:r>
    </w:p>
    <w:p w:rsidR="00501C0A" w:rsidRDefault="00501C0A" w:rsidP="004062B0">
      <w:pPr>
        <w:spacing w:line="420" w:lineRule="exact"/>
        <w:ind w:leftChars="236" w:left="566"/>
        <w:rPr>
          <w:rFonts w:ascii="標楷體" w:eastAsia="標楷體" w:hAnsi="標楷體"/>
          <w:szCs w:val="24"/>
        </w:rPr>
      </w:pPr>
      <w:r>
        <w:rPr>
          <w:rFonts w:ascii="標楷體" w:eastAsia="標楷體" w:hAnsi="標楷體"/>
          <w:b/>
          <w:szCs w:val="24"/>
        </w:rPr>
        <w:t xml:space="preserve">    </w:t>
      </w:r>
      <w:r w:rsidRPr="00D25361">
        <w:rPr>
          <w:rFonts w:ascii="標楷體" w:eastAsia="標楷體" w:hAnsi="標楷體" w:hint="eastAsia"/>
          <w:szCs w:val="24"/>
        </w:rPr>
        <w:t>違反行政法上義務之行為在本法施行前，得沒入之物主管機關未依法裁處沒入者（符合第</w:t>
      </w:r>
      <w:r w:rsidRPr="00D25361">
        <w:rPr>
          <w:rFonts w:ascii="標楷體" w:eastAsia="標楷體" w:hAnsi="標楷體"/>
          <w:szCs w:val="24"/>
        </w:rPr>
        <w:t xml:space="preserve">45 </w:t>
      </w:r>
      <w:r w:rsidRPr="00D25361">
        <w:rPr>
          <w:rFonts w:ascii="標楷體" w:eastAsia="標楷體" w:hAnsi="標楷體" w:hint="eastAsia"/>
          <w:szCs w:val="24"/>
        </w:rPr>
        <w:t>條第</w:t>
      </w:r>
      <w:r w:rsidRPr="00D25361">
        <w:rPr>
          <w:rFonts w:ascii="標楷體" w:eastAsia="標楷體" w:hAnsi="標楷體"/>
          <w:szCs w:val="24"/>
        </w:rPr>
        <w:t xml:space="preserve">1 </w:t>
      </w:r>
      <w:r w:rsidRPr="00D25361">
        <w:rPr>
          <w:rFonts w:ascii="標楷體" w:eastAsia="標楷體" w:hAnsi="標楷體" w:hint="eastAsia"/>
          <w:szCs w:val="24"/>
        </w:rPr>
        <w:t>項規定應受裁處而未裁處之情況），應視受處罰者或物之所有人，予以處分、使用或以他法致不能裁處沒入，是否亦於本法施行前所為而定：如係於本法施行前予以處分、使用或以他法致不能裁處沒入者，依信賴保護及不溯及既往原則，即不得為價額沒入之裁處；如係於本法施行後始予以處分、使用或以他法致不能裁處沒入，既係於本法施行後所為，主管機關仍應為價額沒入之裁處，並無溯及既往之問題。</w:t>
      </w:r>
    </w:p>
    <w:p w:rsidR="00501C0A" w:rsidRPr="00D25361" w:rsidRDefault="00501C0A" w:rsidP="004062B0">
      <w:pPr>
        <w:spacing w:line="420" w:lineRule="exact"/>
        <w:ind w:leftChars="236" w:left="566"/>
        <w:rPr>
          <w:rFonts w:ascii="標楷體" w:eastAsia="標楷體" w:hAnsi="標楷體"/>
          <w:szCs w:val="24"/>
        </w:rPr>
      </w:pPr>
    </w:p>
    <w:p w:rsidR="00501C0A" w:rsidRPr="00D25361" w:rsidRDefault="00501C0A" w:rsidP="004062B0">
      <w:pPr>
        <w:spacing w:line="420" w:lineRule="exact"/>
        <w:rPr>
          <w:rFonts w:ascii="標楷體" w:eastAsia="標楷體" w:hAnsi="標楷體"/>
          <w:b/>
          <w:szCs w:val="24"/>
        </w:rPr>
      </w:pPr>
      <w:r>
        <w:rPr>
          <w:rFonts w:ascii="標楷體" w:eastAsia="標楷體" w:hAnsi="標楷體" w:hint="eastAsia"/>
          <w:b/>
          <w:szCs w:val="24"/>
        </w:rPr>
        <w:t>捌</w:t>
      </w:r>
      <w:r w:rsidRPr="00D25361">
        <w:rPr>
          <w:rFonts w:ascii="標楷體" w:eastAsia="標楷體" w:hAnsi="標楷體" w:hint="eastAsia"/>
          <w:b/>
          <w:szCs w:val="24"/>
        </w:rPr>
        <w:t>、散會（</w:t>
      </w:r>
      <w:r w:rsidRPr="00D25361">
        <w:rPr>
          <w:rFonts w:ascii="標楷體" w:eastAsia="標楷體" w:hAnsi="標楷體"/>
          <w:b/>
          <w:bCs/>
          <w:szCs w:val="24"/>
        </w:rPr>
        <w:t xml:space="preserve">16 </w:t>
      </w:r>
      <w:r w:rsidRPr="00D25361">
        <w:rPr>
          <w:rFonts w:ascii="標楷體" w:eastAsia="標楷體" w:hAnsi="標楷體" w:hint="eastAsia"/>
          <w:b/>
          <w:szCs w:val="24"/>
        </w:rPr>
        <w:t>時</w:t>
      </w:r>
      <w:r w:rsidRPr="00D25361">
        <w:rPr>
          <w:rFonts w:ascii="標楷體" w:eastAsia="標楷體" w:hAnsi="標楷體"/>
          <w:b/>
          <w:bCs/>
          <w:szCs w:val="24"/>
        </w:rPr>
        <w:t xml:space="preserve">30 </w:t>
      </w:r>
      <w:r w:rsidRPr="00D25361">
        <w:rPr>
          <w:rFonts w:ascii="標楷體" w:eastAsia="標楷體" w:hAnsi="標楷體" w:hint="eastAsia"/>
          <w:b/>
          <w:szCs w:val="24"/>
        </w:rPr>
        <w:t>分）。</w:t>
      </w:r>
    </w:p>
    <w:p w:rsidR="00501C0A" w:rsidRPr="00D25361" w:rsidRDefault="00501C0A" w:rsidP="004062B0">
      <w:pPr>
        <w:spacing w:line="420" w:lineRule="exact"/>
        <w:jc w:val="right"/>
        <w:rPr>
          <w:rFonts w:ascii="標楷體" w:eastAsia="標楷體" w:hAnsi="標楷體"/>
          <w:szCs w:val="24"/>
        </w:rPr>
      </w:pPr>
      <w:r w:rsidRPr="00D25361">
        <w:rPr>
          <w:rFonts w:ascii="標楷體" w:eastAsia="標楷體" w:hAnsi="標楷體" w:hint="eastAsia"/>
          <w:szCs w:val="24"/>
        </w:rPr>
        <w:t>主席：林錫堯</w:t>
      </w:r>
      <w:r w:rsidRPr="00D25361">
        <w:rPr>
          <w:rFonts w:ascii="標楷體" w:eastAsia="標楷體" w:hAnsi="標楷體"/>
          <w:szCs w:val="24"/>
        </w:rPr>
        <w:t>(</w:t>
      </w:r>
      <w:r w:rsidRPr="00D25361">
        <w:rPr>
          <w:rFonts w:ascii="標楷體" w:eastAsia="標楷體" w:hAnsi="標楷體" w:hint="eastAsia"/>
          <w:szCs w:val="24"/>
        </w:rPr>
        <w:t>代理</w:t>
      </w:r>
      <w:r w:rsidRPr="00D25361">
        <w:rPr>
          <w:rFonts w:ascii="標楷體" w:eastAsia="標楷體" w:hAnsi="標楷體"/>
          <w:szCs w:val="24"/>
        </w:rPr>
        <w:t>)</w:t>
      </w:r>
    </w:p>
    <w:p w:rsidR="00501C0A" w:rsidRPr="00D25361" w:rsidRDefault="00501C0A" w:rsidP="00885184">
      <w:pPr>
        <w:spacing w:line="420" w:lineRule="exact"/>
        <w:ind w:right="480"/>
        <w:jc w:val="center"/>
        <w:rPr>
          <w:rFonts w:ascii="標楷體" w:eastAsia="標楷體" w:hAnsi="標楷體"/>
          <w:szCs w:val="24"/>
        </w:rPr>
      </w:pPr>
      <w:r>
        <w:rPr>
          <w:rFonts w:ascii="標楷體" w:eastAsia="標楷體" w:hAnsi="標楷體"/>
          <w:szCs w:val="24"/>
        </w:rPr>
        <w:t xml:space="preserve">                                                 </w:t>
      </w:r>
      <w:r w:rsidRPr="00D25361">
        <w:rPr>
          <w:rFonts w:ascii="標楷體" w:eastAsia="標楷體" w:hAnsi="標楷體" w:hint="eastAsia"/>
          <w:szCs w:val="24"/>
        </w:rPr>
        <w:t>紀錄：陳忠光</w:t>
      </w:r>
    </w:p>
    <w:p w:rsidR="00501C0A" w:rsidRDefault="00501C0A" w:rsidP="004062B0">
      <w:pPr>
        <w:spacing w:line="420" w:lineRule="exact"/>
        <w:jc w:val="right"/>
        <w:rPr>
          <w:rFonts w:ascii="標楷體" w:eastAsia="標楷體" w:hAnsi="標楷體"/>
          <w:sz w:val="28"/>
          <w:szCs w:val="28"/>
        </w:rPr>
      </w:pPr>
    </w:p>
    <w:p w:rsidR="00501C0A" w:rsidRPr="004062B0" w:rsidRDefault="00501C0A" w:rsidP="004062B0">
      <w:pPr>
        <w:pStyle w:val="a"/>
        <w:spacing w:line="420" w:lineRule="exact"/>
        <w:ind w:leftChars="104"/>
        <w:jc w:val="left"/>
        <w:rPr>
          <w:sz w:val="24"/>
          <w:szCs w:val="24"/>
        </w:rPr>
      </w:pPr>
    </w:p>
    <w:sectPr w:rsidR="00501C0A" w:rsidRPr="004062B0" w:rsidSect="005C349A">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C0A" w:rsidRDefault="00501C0A" w:rsidP="00645CB0">
      <w:r>
        <w:separator/>
      </w:r>
    </w:p>
  </w:endnote>
  <w:endnote w:type="continuationSeparator" w:id="0">
    <w:p w:rsidR="00501C0A" w:rsidRDefault="00501C0A" w:rsidP="00645CB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0A" w:rsidRDefault="00501C0A">
    <w:pPr>
      <w:pStyle w:val="Footer"/>
      <w:jc w:val="center"/>
    </w:pPr>
    <w:fldSimple w:instr=" PAGE   \* MERGEFORMAT ">
      <w:r w:rsidRPr="00600B51">
        <w:rPr>
          <w:noProof/>
          <w:lang w:val="zh-TW"/>
        </w:rPr>
        <w:t>4</w:t>
      </w:r>
    </w:fldSimple>
  </w:p>
  <w:p w:rsidR="00501C0A" w:rsidRDefault="00501C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C0A" w:rsidRDefault="00501C0A" w:rsidP="00645CB0">
      <w:r>
        <w:separator/>
      </w:r>
    </w:p>
  </w:footnote>
  <w:footnote w:type="continuationSeparator" w:id="0">
    <w:p w:rsidR="00501C0A" w:rsidRDefault="00501C0A" w:rsidP="00645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23B86"/>
    <w:multiLevelType w:val="hybridMultilevel"/>
    <w:tmpl w:val="BB1A5080"/>
    <w:lvl w:ilvl="0" w:tplc="EA4CFB84">
      <w:start w:val="1"/>
      <w:numFmt w:val="taiwaneseCountingThousand"/>
      <w:lvlText w:val="%1、"/>
      <w:lvlJc w:val="left"/>
      <w:pPr>
        <w:tabs>
          <w:tab w:val="num" w:pos="435"/>
        </w:tabs>
        <w:ind w:left="435" w:hanging="432"/>
      </w:pPr>
      <w:rPr>
        <w:rFonts w:ascii="標楷體" w:eastAsia="標楷體" w:cs="標楷體" w:hint="default"/>
        <w:sz w:val="21"/>
      </w:rPr>
    </w:lvl>
    <w:lvl w:ilvl="1" w:tplc="04090019" w:tentative="1">
      <w:start w:val="1"/>
      <w:numFmt w:val="ideographTraditional"/>
      <w:lvlText w:val="%2、"/>
      <w:lvlJc w:val="left"/>
      <w:pPr>
        <w:tabs>
          <w:tab w:val="num" w:pos="963"/>
        </w:tabs>
        <w:ind w:left="963" w:hanging="480"/>
      </w:pPr>
      <w:rPr>
        <w:rFonts w:cs="Times New Roman"/>
      </w:rPr>
    </w:lvl>
    <w:lvl w:ilvl="2" w:tplc="0409001B" w:tentative="1">
      <w:start w:val="1"/>
      <w:numFmt w:val="lowerRoman"/>
      <w:lvlText w:val="%3."/>
      <w:lvlJc w:val="right"/>
      <w:pPr>
        <w:tabs>
          <w:tab w:val="num" w:pos="1443"/>
        </w:tabs>
        <w:ind w:left="1443" w:hanging="480"/>
      </w:pPr>
      <w:rPr>
        <w:rFonts w:cs="Times New Roman"/>
      </w:rPr>
    </w:lvl>
    <w:lvl w:ilvl="3" w:tplc="0409000F" w:tentative="1">
      <w:start w:val="1"/>
      <w:numFmt w:val="decimal"/>
      <w:lvlText w:val="%4."/>
      <w:lvlJc w:val="left"/>
      <w:pPr>
        <w:tabs>
          <w:tab w:val="num" w:pos="1923"/>
        </w:tabs>
        <w:ind w:left="1923" w:hanging="480"/>
      </w:pPr>
      <w:rPr>
        <w:rFonts w:cs="Times New Roman"/>
      </w:rPr>
    </w:lvl>
    <w:lvl w:ilvl="4" w:tplc="04090019" w:tentative="1">
      <w:start w:val="1"/>
      <w:numFmt w:val="ideographTraditional"/>
      <w:lvlText w:val="%5、"/>
      <w:lvlJc w:val="left"/>
      <w:pPr>
        <w:tabs>
          <w:tab w:val="num" w:pos="2403"/>
        </w:tabs>
        <w:ind w:left="2403" w:hanging="480"/>
      </w:pPr>
      <w:rPr>
        <w:rFonts w:cs="Times New Roman"/>
      </w:rPr>
    </w:lvl>
    <w:lvl w:ilvl="5" w:tplc="0409001B" w:tentative="1">
      <w:start w:val="1"/>
      <w:numFmt w:val="lowerRoman"/>
      <w:lvlText w:val="%6."/>
      <w:lvlJc w:val="right"/>
      <w:pPr>
        <w:tabs>
          <w:tab w:val="num" w:pos="2883"/>
        </w:tabs>
        <w:ind w:left="2883" w:hanging="480"/>
      </w:pPr>
      <w:rPr>
        <w:rFonts w:cs="Times New Roman"/>
      </w:rPr>
    </w:lvl>
    <w:lvl w:ilvl="6" w:tplc="0409000F" w:tentative="1">
      <w:start w:val="1"/>
      <w:numFmt w:val="decimal"/>
      <w:lvlText w:val="%7."/>
      <w:lvlJc w:val="left"/>
      <w:pPr>
        <w:tabs>
          <w:tab w:val="num" w:pos="3363"/>
        </w:tabs>
        <w:ind w:left="3363" w:hanging="480"/>
      </w:pPr>
      <w:rPr>
        <w:rFonts w:cs="Times New Roman"/>
      </w:rPr>
    </w:lvl>
    <w:lvl w:ilvl="7" w:tplc="04090019" w:tentative="1">
      <w:start w:val="1"/>
      <w:numFmt w:val="ideographTraditional"/>
      <w:lvlText w:val="%8、"/>
      <w:lvlJc w:val="left"/>
      <w:pPr>
        <w:tabs>
          <w:tab w:val="num" w:pos="3843"/>
        </w:tabs>
        <w:ind w:left="3843" w:hanging="480"/>
      </w:pPr>
      <w:rPr>
        <w:rFonts w:cs="Times New Roman"/>
      </w:rPr>
    </w:lvl>
    <w:lvl w:ilvl="8" w:tplc="0409001B" w:tentative="1">
      <w:start w:val="1"/>
      <w:numFmt w:val="lowerRoman"/>
      <w:lvlText w:val="%9."/>
      <w:lvlJc w:val="right"/>
      <w:pPr>
        <w:tabs>
          <w:tab w:val="num" w:pos="4323"/>
        </w:tabs>
        <w:ind w:left="4323"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C99"/>
    <w:rsid w:val="00106054"/>
    <w:rsid w:val="001C2545"/>
    <w:rsid w:val="0024175C"/>
    <w:rsid w:val="00356C99"/>
    <w:rsid w:val="004062B0"/>
    <w:rsid w:val="004C499E"/>
    <w:rsid w:val="004F1335"/>
    <w:rsid w:val="004F146A"/>
    <w:rsid w:val="00501C0A"/>
    <w:rsid w:val="005C349A"/>
    <w:rsid w:val="00600B51"/>
    <w:rsid w:val="00645CB0"/>
    <w:rsid w:val="006A50B4"/>
    <w:rsid w:val="006D6C2A"/>
    <w:rsid w:val="006E28FB"/>
    <w:rsid w:val="006F1CAF"/>
    <w:rsid w:val="007D6A9E"/>
    <w:rsid w:val="00810545"/>
    <w:rsid w:val="00885184"/>
    <w:rsid w:val="00D06327"/>
    <w:rsid w:val="00D1347E"/>
    <w:rsid w:val="00D25361"/>
    <w:rsid w:val="00E60A39"/>
    <w:rsid w:val="00E9155C"/>
    <w:rsid w:val="00EC24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CB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文"/>
    <w:uiPriority w:val="99"/>
    <w:rsid w:val="00645CB0"/>
    <w:pPr>
      <w:adjustRightInd w:val="0"/>
      <w:snapToGrid w:val="0"/>
      <w:spacing w:line="440" w:lineRule="exact"/>
      <w:ind w:leftChars="250" w:left="250"/>
      <w:jc w:val="both"/>
    </w:pPr>
    <w:rPr>
      <w:rFonts w:ascii="Times New Roman" w:eastAsia="標楷體" w:hAnsi="Times New Roman"/>
      <w:kern w:val="0"/>
      <w:sz w:val="28"/>
      <w:szCs w:val="20"/>
    </w:rPr>
  </w:style>
  <w:style w:type="paragraph" w:customStyle="1" w:styleId="a0">
    <w:name w:val="壹"/>
    <w:uiPriority w:val="99"/>
    <w:rsid w:val="00645CB0"/>
    <w:pPr>
      <w:adjustRightInd w:val="0"/>
      <w:snapToGrid w:val="0"/>
      <w:spacing w:beforeLines="75" w:afterLines="25" w:line="440" w:lineRule="exact"/>
      <w:jc w:val="both"/>
    </w:pPr>
    <w:rPr>
      <w:rFonts w:ascii="Times New Roman" w:eastAsia="標楷體" w:hAnsi="Times New Roman"/>
      <w:b/>
      <w:kern w:val="0"/>
      <w:sz w:val="30"/>
      <w:szCs w:val="20"/>
    </w:rPr>
  </w:style>
  <w:style w:type="paragraph" w:customStyle="1" w:styleId="a1">
    <w:name w:val="一、"/>
    <w:basedOn w:val="a"/>
    <w:uiPriority w:val="99"/>
    <w:rsid w:val="00645CB0"/>
    <w:pPr>
      <w:ind w:leftChars="370" w:left="570" w:hangingChars="200" w:hanging="200"/>
    </w:pPr>
  </w:style>
  <w:style w:type="paragraph" w:styleId="FootnoteText">
    <w:name w:val="footnote text"/>
    <w:basedOn w:val="Normal"/>
    <w:link w:val="FootnoteTextChar"/>
    <w:uiPriority w:val="99"/>
    <w:rsid w:val="00645CB0"/>
    <w:pPr>
      <w:snapToGrid w:val="0"/>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645CB0"/>
    <w:rPr>
      <w:rFonts w:ascii="Times New Roman" w:eastAsia="新細明體" w:hAnsi="Times New Roman" w:cs="Times New Roman"/>
      <w:sz w:val="20"/>
      <w:szCs w:val="20"/>
    </w:rPr>
  </w:style>
  <w:style w:type="character" w:styleId="FootnoteReference">
    <w:name w:val="footnote reference"/>
    <w:basedOn w:val="DefaultParagraphFont"/>
    <w:uiPriority w:val="99"/>
    <w:semiHidden/>
    <w:rsid w:val="00645CB0"/>
    <w:rPr>
      <w:rFonts w:cs="Times New Roman"/>
      <w:vertAlign w:val="superscript"/>
    </w:rPr>
  </w:style>
  <w:style w:type="paragraph" w:styleId="Header">
    <w:name w:val="header"/>
    <w:basedOn w:val="Normal"/>
    <w:link w:val="HeaderChar"/>
    <w:uiPriority w:val="99"/>
    <w:semiHidden/>
    <w:rsid w:val="007D6A9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7D6A9E"/>
    <w:rPr>
      <w:rFonts w:ascii="Calibri" w:eastAsia="新細明體" w:hAnsi="Calibri" w:cs="Times New Roman"/>
      <w:sz w:val="20"/>
      <w:szCs w:val="20"/>
    </w:rPr>
  </w:style>
  <w:style w:type="paragraph" w:styleId="Footer">
    <w:name w:val="footer"/>
    <w:basedOn w:val="Normal"/>
    <w:link w:val="FooterChar"/>
    <w:uiPriority w:val="99"/>
    <w:rsid w:val="007D6A9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D6A9E"/>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420</Words>
  <Characters>2394</Characters>
  <Application>Microsoft Office Outlook</Application>
  <DocSecurity>0</DocSecurity>
  <Lines>0</Lines>
  <Paragraphs>0</Paragraphs>
  <ScaleCrop>false</ScaleCrop>
  <Company>MOJ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法務部行政罰法諮詢小組</dc:title>
  <dc:subject/>
  <dc:creator>yun</dc:creator>
  <cp:keywords/>
  <dc:description/>
  <cp:lastModifiedBy>ycchang</cp:lastModifiedBy>
  <cp:revision>2</cp:revision>
  <dcterms:created xsi:type="dcterms:W3CDTF">2015-05-05T07:09:00Z</dcterms:created>
  <dcterms:modified xsi:type="dcterms:W3CDTF">2015-05-05T07:09:00Z</dcterms:modified>
</cp:coreProperties>
</file>