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85" w:rsidRPr="001F0489" w:rsidRDefault="00761D85" w:rsidP="00645CB0">
      <w:pPr>
        <w:jc w:val="center"/>
        <w:rPr>
          <w:rFonts w:ascii="標楷體" w:eastAsia="標楷體" w:hAnsi="標楷體"/>
          <w:b/>
          <w:sz w:val="44"/>
          <w:szCs w:val="44"/>
        </w:rPr>
      </w:pPr>
      <w:r w:rsidRPr="001F0489">
        <w:rPr>
          <w:rFonts w:ascii="標楷體" w:eastAsia="標楷體" w:hAnsi="標楷體" w:hint="eastAsia"/>
          <w:b/>
          <w:sz w:val="44"/>
          <w:szCs w:val="44"/>
        </w:rPr>
        <w:t>法務部行政罰法諮詢小組</w:t>
      </w:r>
    </w:p>
    <w:p w:rsidR="00761D85" w:rsidRDefault="00761D85" w:rsidP="00645CB0">
      <w:pPr>
        <w:jc w:val="center"/>
        <w:rPr>
          <w:rFonts w:ascii="標楷體" w:eastAsia="標楷體" w:hAnsi="標楷體"/>
          <w:b/>
          <w:sz w:val="44"/>
          <w:szCs w:val="44"/>
        </w:rPr>
      </w:pPr>
      <w:r w:rsidRPr="001F0489">
        <w:rPr>
          <w:rFonts w:ascii="標楷體" w:eastAsia="標楷體" w:hAnsi="標楷體" w:hint="eastAsia"/>
          <w:b/>
          <w:sz w:val="44"/>
          <w:szCs w:val="44"/>
        </w:rPr>
        <w:t>第</w:t>
      </w:r>
      <w:r>
        <w:rPr>
          <w:rFonts w:ascii="標楷體" w:eastAsia="標楷體" w:hAnsi="標楷體"/>
          <w:b/>
          <w:sz w:val="44"/>
          <w:szCs w:val="44"/>
        </w:rPr>
        <w:t>1</w:t>
      </w:r>
      <w:r w:rsidRPr="001F0489">
        <w:rPr>
          <w:rFonts w:ascii="標楷體" w:eastAsia="標楷體" w:hAnsi="標楷體" w:hint="eastAsia"/>
          <w:b/>
          <w:sz w:val="44"/>
          <w:szCs w:val="44"/>
        </w:rPr>
        <w:t>次</w:t>
      </w:r>
      <w:r w:rsidRPr="001F0489">
        <w:rPr>
          <w:rFonts w:ascii="標楷體" w:eastAsia="標楷體" w:hAnsi="標楷體" w:hint="eastAsia"/>
          <w:b/>
          <w:spacing w:val="12"/>
          <w:sz w:val="44"/>
          <w:szCs w:val="44"/>
        </w:rPr>
        <w:t>會議紀</w:t>
      </w:r>
      <w:r w:rsidRPr="001F0489">
        <w:rPr>
          <w:rFonts w:ascii="標楷體" w:eastAsia="標楷體" w:hAnsi="標楷體" w:hint="eastAsia"/>
          <w:b/>
          <w:sz w:val="44"/>
          <w:szCs w:val="44"/>
        </w:rPr>
        <w:t>錄</w:t>
      </w:r>
    </w:p>
    <w:p w:rsidR="00761D85" w:rsidRPr="001F0489" w:rsidRDefault="00761D85" w:rsidP="00645CB0">
      <w:pPr>
        <w:spacing w:line="420" w:lineRule="exact"/>
        <w:jc w:val="center"/>
        <w:rPr>
          <w:rFonts w:ascii="標楷體" w:eastAsia="標楷體" w:hAnsi="標楷體"/>
          <w:b/>
          <w:sz w:val="16"/>
          <w:szCs w:val="16"/>
        </w:rPr>
      </w:pPr>
    </w:p>
    <w:p w:rsidR="00761D85" w:rsidRPr="00D25361" w:rsidRDefault="00761D85" w:rsidP="00645CB0">
      <w:pPr>
        <w:pStyle w:val="a0"/>
        <w:spacing w:beforeLines="0" w:afterLines="0" w:line="420" w:lineRule="exact"/>
        <w:outlineLvl w:val="0"/>
        <w:rPr>
          <w:sz w:val="24"/>
          <w:szCs w:val="24"/>
        </w:rPr>
      </w:pPr>
      <w:r w:rsidRPr="00D25361">
        <w:rPr>
          <w:rFonts w:hint="eastAsia"/>
          <w:sz w:val="24"/>
          <w:szCs w:val="24"/>
        </w:rPr>
        <w:t>壹、時間</w:t>
      </w:r>
      <w:r w:rsidRPr="00D25361">
        <w:rPr>
          <w:rFonts w:ascii="標楷體" w:hint="eastAsia"/>
          <w:sz w:val="24"/>
          <w:szCs w:val="24"/>
        </w:rPr>
        <w:t>﹕</w:t>
      </w:r>
      <w:r w:rsidRPr="00D25361">
        <w:rPr>
          <w:rFonts w:ascii="標楷體"/>
          <w:sz w:val="24"/>
          <w:szCs w:val="24"/>
        </w:rPr>
        <w:t>94</w:t>
      </w:r>
      <w:r w:rsidRPr="00D25361">
        <w:rPr>
          <w:rFonts w:hint="eastAsia"/>
          <w:sz w:val="24"/>
          <w:szCs w:val="24"/>
        </w:rPr>
        <w:t>年</w:t>
      </w:r>
      <w:r w:rsidRPr="00D25361">
        <w:rPr>
          <w:sz w:val="24"/>
          <w:szCs w:val="24"/>
        </w:rPr>
        <w:t>7</w:t>
      </w:r>
      <w:r w:rsidRPr="00D25361">
        <w:rPr>
          <w:rFonts w:ascii="標楷體" w:hAnsi="標楷體" w:hint="eastAsia"/>
          <w:sz w:val="24"/>
          <w:szCs w:val="24"/>
        </w:rPr>
        <w:t>月</w:t>
      </w:r>
      <w:r w:rsidRPr="00D25361">
        <w:rPr>
          <w:rFonts w:ascii="標楷體" w:hAnsi="標楷體"/>
          <w:sz w:val="24"/>
          <w:szCs w:val="24"/>
        </w:rPr>
        <w:t>28</w:t>
      </w:r>
      <w:r w:rsidRPr="00D25361">
        <w:rPr>
          <w:rFonts w:ascii="標楷體" w:hAnsi="標楷體" w:hint="eastAsia"/>
          <w:sz w:val="24"/>
          <w:szCs w:val="24"/>
        </w:rPr>
        <w:t>日（星期</w:t>
      </w:r>
      <w:r w:rsidRPr="00D25361">
        <w:rPr>
          <w:rFonts w:ascii="標楷體" w:hAnsi="標楷體"/>
          <w:sz w:val="24"/>
          <w:szCs w:val="24"/>
        </w:rPr>
        <w:t>4</w:t>
      </w:r>
      <w:r w:rsidRPr="00D25361">
        <w:rPr>
          <w:rFonts w:ascii="標楷體" w:hAnsi="標楷體" w:hint="eastAsia"/>
          <w:sz w:val="24"/>
          <w:szCs w:val="24"/>
        </w:rPr>
        <w:t>）下午</w:t>
      </w:r>
      <w:r w:rsidRPr="00D25361">
        <w:rPr>
          <w:rFonts w:ascii="標楷體" w:hAnsi="標楷體"/>
          <w:sz w:val="24"/>
          <w:szCs w:val="24"/>
        </w:rPr>
        <w:t>2</w:t>
      </w:r>
      <w:r w:rsidRPr="00D25361">
        <w:rPr>
          <w:rFonts w:ascii="標楷體" w:hAnsi="標楷體" w:hint="eastAsia"/>
          <w:sz w:val="24"/>
          <w:szCs w:val="24"/>
        </w:rPr>
        <w:t>時</w:t>
      </w:r>
      <w:r w:rsidRPr="00D25361">
        <w:rPr>
          <w:rFonts w:ascii="標楷體" w:hAnsi="標楷體"/>
          <w:sz w:val="24"/>
          <w:szCs w:val="24"/>
        </w:rPr>
        <w:t>30</w:t>
      </w:r>
      <w:r w:rsidRPr="00D25361">
        <w:rPr>
          <w:rFonts w:ascii="標楷體" w:hAnsi="標楷體" w:hint="eastAsia"/>
          <w:sz w:val="24"/>
          <w:szCs w:val="24"/>
        </w:rPr>
        <w:t>分</w:t>
      </w:r>
    </w:p>
    <w:p w:rsidR="00761D85" w:rsidRPr="00D25361" w:rsidRDefault="00761D85" w:rsidP="00645CB0">
      <w:pPr>
        <w:pStyle w:val="a0"/>
        <w:spacing w:beforeLines="0" w:afterLines="0" w:line="420" w:lineRule="exact"/>
        <w:rPr>
          <w:sz w:val="24"/>
          <w:szCs w:val="24"/>
        </w:rPr>
      </w:pPr>
      <w:r w:rsidRPr="00D25361">
        <w:rPr>
          <w:rFonts w:hint="eastAsia"/>
          <w:sz w:val="24"/>
          <w:szCs w:val="24"/>
        </w:rPr>
        <w:t>貳、地點：最高法院檢察署</w:t>
      </w:r>
      <w:r w:rsidRPr="00D25361">
        <w:rPr>
          <w:rFonts w:ascii="標楷體" w:hAnsi="標楷體" w:hint="eastAsia"/>
          <w:sz w:val="24"/>
          <w:szCs w:val="24"/>
        </w:rPr>
        <w:t>會議室</w:t>
      </w:r>
    </w:p>
    <w:p w:rsidR="00761D85" w:rsidRPr="00D25361" w:rsidRDefault="00761D85" w:rsidP="00645CB0">
      <w:pPr>
        <w:pStyle w:val="a0"/>
        <w:spacing w:beforeLines="0" w:afterLines="0" w:line="420" w:lineRule="exact"/>
        <w:rPr>
          <w:sz w:val="24"/>
          <w:szCs w:val="24"/>
        </w:rPr>
      </w:pPr>
      <w:r w:rsidRPr="00D25361">
        <w:rPr>
          <w:rFonts w:hint="eastAsia"/>
          <w:sz w:val="24"/>
          <w:szCs w:val="24"/>
        </w:rPr>
        <w:t>參、主席：</w:t>
      </w:r>
      <w:r w:rsidRPr="00D25361">
        <w:rPr>
          <w:rFonts w:ascii="標楷體" w:hAnsi="標楷體" w:hint="eastAsia"/>
          <w:sz w:val="24"/>
          <w:szCs w:val="24"/>
        </w:rPr>
        <w:t>朱委員兼召集人楠</w:t>
      </w:r>
    </w:p>
    <w:p w:rsidR="00761D85" w:rsidRPr="00D25361" w:rsidRDefault="00761D85" w:rsidP="00645CB0">
      <w:pPr>
        <w:pStyle w:val="a0"/>
        <w:spacing w:beforeLines="0" w:afterLines="0" w:line="420" w:lineRule="exact"/>
        <w:ind w:left="480" w:hangingChars="200" w:hanging="480"/>
        <w:rPr>
          <w:sz w:val="24"/>
          <w:szCs w:val="24"/>
        </w:rPr>
      </w:pPr>
      <w:r w:rsidRPr="00D25361">
        <w:rPr>
          <w:rFonts w:hint="eastAsia"/>
          <w:sz w:val="24"/>
          <w:szCs w:val="24"/>
        </w:rPr>
        <w:t>肆、出席人員：</w:t>
      </w:r>
      <w:r w:rsidRPr="00D25361">
        <w:rPr>
          <w:rFonts w:hint="eastAsia"/>
          <w:b w:val="0"/>
          <w:bCs/>
          <w:sz w:val="24"/>
          <w:szCs w:val="24"/>
        </w:rPr>
        <w:t>吳委員庚、李委員震山、林委員錫堯、林委員朝松、洪委員家殷、張委員正勝、陳委員明堂、陳委員清秀、陳委員愛娥、曾委員華松、董委員保城、藍委員獻林（以上諮詢委員依委員姓氏筆畫列序）</w:t>
      </w:r>
    </w:p>
    <w:p w:rsidR="00761D85" w:rsidRPr="00D25361" w:rsidRDefault="00761D85" w:rsidP="00645CB0">
      <w:pPr>
        <w:pStyle w:val="a0"/>
        <w:spacing w:beforeLines="0" w:afterLines="0" w:line="420" w:lineRule="exact"/>
        <w:ind w:left="480" w:hangingChars="200" w:hanging="480"/>
        <w:rPr>
          <w:b w:val="0"/>
          <w:bCs/>
          <w:sz w:val="24"/>
          <w:szCs w:val="24"/>
        </w:rPr>
      </w:pPr>
      <w:r w:rsidRPr="00D25361">
        <w:rPr>
          <w:rFonts w:hint="eastAsia"/>
          <w:sz w:val="24"/>
          <w:szCs w:val="24"/>
        </w:rPr>
        <w:t>伍、列席人員：</w:t>
      </w:r>
      <w:r w:rsidRPr="00D25361">
        <w:rPr>
          <w:rFonts w:hint="eastAsia"/>
          <w:b w:val="0"/>
          <w:bCs/>
          <w:sz w:val="24"/>
          <w:szCs w:val="24"/>
        </w:rPr>
        <w:t>檢察司蔡檢察官宗熙、法律事務司林副司長秀蓮、吳專門委員紀亮、王科長仁越、鍾科長瑞蘭、曾薦任科員瓊仙、陳專員忠光</w:t>
      </w:r>
    </w:p>
    <w:p w:rsidR="00761D85" w:rsidRPr="00D25361" w:rsidRDefault="00761D85" w:rsidP="00645CB0">
      <w:pPr>
        <w:pStyle w:val="a0"/>
        <w:spacing w:beforeLines="0" w:afterLines="0" w:line="420" w:lineRule="exact"/>
        <w:ind w:left="480" w:hangingChars="200" w:hanging="480"/>
        <w:rPr>
          <w:sz w:val="24"/>
          <w:szCs w:val="24"/>
        </w:rPr>
      </w:pPr>
      <w:r w:rsidRPr="00D25361">
        <w:rPr>
          <w:rFonts w:hint="eastAsia"/>
          <w:sz w:val="24"/>
          <w:szCs w:val="24"/>
        </w:rPr>
        <w:t>陸、討論事項：</w:t>
      </w:r>
      <w:r w:rsidRPr="00D25361">
        <w:rPr>
          <w:rFonts w:ascii="標楷體" w:hint="eastAsia"/>
          <w:b w:val="0"/>
          <w:bCs/>
          <w:sz w:val="24"/>
          <w:szCs w:val="24"/>
        </w:rPr>
        <w:t>一行為同時觸犯刑事法律及違反行政法上義務規定，經檢察官依刑事訴訟法第</w:t>
      </w:r>
      <w:r w:rsidRPr="00D25361">
        <w:rPr>
          <w:rFonts w:ascii="標楷體"/>
          <w:b w:val="0"/>
          <w:bCs/>
          <w:sz w:val="24"/>
          <w:szCs w:val="24"/>
        </w:rPr>
        <w:t>253</w:t>
      </w:r>
      <w:r w:rsidRPr="00D25361">
        <w:rPr>
          <w:rFonts w:ascii="標楷體" w:hint="eastAsia"/>
          <w:b w:val="0"/>
          <w:bCs/>
          <w:sz w:val="24"/>
          <w:szCs w:val="24"/>
        </w:rPr>
        <w:t>條之</w:t>
      </w:r>
      <w:r w:rsidRPr="00D25361">
        <w:rPr>
          <w:rFonts w:ascii="標楷體"/>
          <w:b w:val="0"/>
          <w:bCs/>
          <w:sz w:val="24"/>
          <w:szCs w:val="24"/>
        </w:rPr>
        <w:t>1</w:t>
      </w:r>
      <w:r w:rsidRPr="00D25361">
        <w:rPr>
          <w:rFonts w:ascii="標楷體" w:hint="eastAsia"/>
          <w:b w:val="0"/>
          <w:bCs/>
          <w:sz w:val="24"/>
          <w:szCs w:val="24"/>
        </w:rPr>
        <w:t>為緩起訴處分後，行政機關得否就該違反行政法上義務再處以行政罰？</w:t>
      </w:r>
    </w:p>
    <w:p w:rsidR="00761D85" w:rsidRPr="00D25361" w:rsidRDefault="00761D85" w:rsidP="00645CB0">
      <w:pPr>
        <w:autoSpaceDE w:val="0"/>
        <w:autoSpaceDN w:val="0"/>
        <w:spacing w:line="420" w:lineRule="exact"/>
        <w:ind w:leftChars="227" w:left="1035" w:hangingChars="204" w:hanging="490"/>
        <w:jc w:val="both"/>
        <w:rPr>
          <w:rFonts w:ascii="標楷體" w:eastAsia="標楷體" w:hAnsi="MS Sans Serif"/>
          <w:color w:val="000000"/>
          <w:kern w:val="0"/>
          <w:szCs w:val="24"/>
        </w:rPr>
      </w:pPr>
      <w:r>
        <w:rPr>
          <w:rFonts w:ascii="標楷體" w:eastAsia="標楷體" w:hint="eastAsia"/>
          <w:b/>
          <w:bCs/>
          <w:szCs w:val="24"/>
        </w:rPr>
        <w:t>一</w:t>
      </w:r>
      <w:r w:rsidRPr="00D25361">
        <w:rPr>
          <w:rFonts w:ascii="標楷體" w:eastAsia="標楷體" w:hint="eastAsia"/>
          <w:b/>
          <w:bCs/>
          <w:szCs w:val="24"/>
        </w:rPr>
        <w:t>、背景說明及問題爭點：</w:t>
      </w:r>
      <w:r w:rsidRPr="00D25361">
        <w:rPr>
          <w:rFonts w:ascii="標楷體" w:eastAsia="標楷體" w:hint="eastAsia"/>
          <w:szCs w:val="24"/>
        </w:rPr>
        <w:t>檢察官依刑事訴訟法第</w:t>
      </w:r>
      <w:r w:rsidRPr="00D25361">
        <w:rPr>
          <w:rFonts w:ascii="標楷體" w:eastAsia="標楷體"/>
          <w:szCs w:val="24"/>
        </w:rPr>
        <w:t>253</w:t>
      </w:r>
      <w:r w:rsidRPr="00D25361">
        <w:rPr>
          <w:rFonts w:ascii="標楷體" w:eastAsia="標楷體" w:hint="eastAsia"/>
          <w:szCs w:val="24"/>
        </w:rPr>
        <w:t>條之</w:t>
      </w:r>
      <w:r w:rsidRPr="00D25361">
        <w:rPr>
          <w:rFonts w:ascii="標楷體" w:eastAsia="標楷體"/>
          <w:szCs w:val="24"/>
        </w:rPr>
        <w:t>1</w:t>
      </w:r>
      <w:r w:rsidRPr="00D25361">
        <w:rPr>
          <w:rFonts w:ascii="標楷體" w:eastAsia="標楷體" w:hint="eastAsia"/>
          <w:szCs w:val="24"/>
        </w:rPr>
        <w:t>第</w:t>
      </w:r>
      <w:r w:rsidRPr="00D25361">
        <w:rPr>
          <w:rFonts w:ascii="標楷體" w:eastAsia="標楷體"/>
          <w:szCs w:val="24"/>
        </w:rPr>
        <w:t>1</w:t>
      </w:r>
      <w:r w:rsidRPr="00D25361">
        <w:rPr>
          <w:rFonts w:ascii="標楷體" w:eastAsia="標楷體" w:hint="eastAsia"/>
          <w:szCs w:val="24"/>
        </w:rPr>
        <w:t>項規定，就</w:t>
      </w:r>
      <w:r w:rsidRPr="00D25361">
        <w:rPr>
          <w:rFonts w:ascii="標楷體" w:eastAsia="標楷體" w:hAnsi="MS Sans Serif" w:hint="eastAsia"/>
          <w:color w:val="000000"/>
          <w:kern w:val="0"/>
          <w:szCs w:val="24"/>
        </w:rPr>
        <w:t>被告所犯為死刑、無期徒刑或最輕本刑三年以上有期徒刑以外之罪，經參酌刑法第五十七條所列事項及公共利益之維護，認以緩起訴為適當者，得定一年以上三年以下之緩起訴期間為緩起訴處分</w:t>
      </w:r>
      <w:r w:rsidRPr="00D25361">
        <w:rPr>
          <w:rFonts w:ascii="標楷體" w:eastAsia="標楷體" w:hint="eastAsia"/>
          <w:szCs w:val="24"/>
        </w:rPr>
        <w:t>，並得依同法第</w:t>
      </w:r>
      <w:r w:rsidRPr="00D25361">
        <w:rPr>
          <w:rFonts w:ascii="標楷體" w:eastAsia="標楷體"/>
          <w:szCs w:val="24"/>
        </w:rPr>
        <w:t>253</w:t>
      </w:r>
      <w:r w:rsidRPr="00D25361">
        <w:rPr>
          <w:rFonts w:ascii="標楷體" w:eastAsia="標楷體" w:hint="eastAsia"/>
          <w:szCs w:val="24"/>
        </w:rPr>
        <w:t>條之</w:t>
      </w:r>
      <w:r w:rsidRPr="00D25361">
        <w:rPr>
          <w:rFonts w:ascii="標楷體" w:eastAsia="標楷體"/>
          <w:szCs w:val="24"/>
        </w:rPr>
        <w:t>2</w:t>
      </w:r>
      <w:r w:rsidRPr="00D25361">
        <w:rPr>
          <w:rFonts w:ascii="標楷體" w:eastAsia="標楷體" w:hint="eastAsia"/>
          <w:szCs w:val="24"/>
        </w:rPr>
        <w:t>第</w:t>
      </w:r>
      <w:r w:rsidRPr="00D25361">
        <w:rPr>
          <w:rFonts w:ascii="標楷體" w:eastAsia="標楷體"/>
          <w:szCs w:val="24"/>
        </w:rPr>
        <w:t>1</w:t>
      </w:r>
      <w:r w:rsidRPr="00D25361">
        <w:rPr>
          <w:rFonts w:ascii="標楷體" w:eastAsia="標楷體" w:hint="eastAsia"/>
          <w:szCs w:val="24"/>
        </w:rPr>
        <w:t>項規定</w:t>
      </w:r>
      <w:r w:rsidRPr="00D25361">
        <w:rPr>
          <w:rFonts w:ascii="標楷體" w:eastAsia="標楷體" w:hAnsi="MS Sans Serif" w:hint="eastAsia"/>
          <w:color w:val="000000"/>
          <w:kern w:val="0"/>
          <w:szCs w:val="24"/>
        </w:rPr>
        <w:t>，命被告於一定期間內遵守或履行下列事項：</w:t>
      </w:r>
      <w:r w:rsidRPr="00D25361">
        <w:rPr>
          <w:rFonts w:ascii="標楷體" w:eastAsia="標楷體" w:hAnsi="MS Sans Serif"/>
          <w:color w:val="000000"/>
          <w:kern w:val="0"/>
          <w:szCs w:val="24"/>
        </w:rPr>
        <w:t>1</w:t>
      </w:r>
      <w:r w:rsidRPr="00D25361">
        <w:rPr>
          <w:rFonts w:ascii="標楷體" w:eastAsia="標楷體" w:hAnsi="MS Sans Serif" w:hint="eastAsia"/>
          <w:color w:val="000000"/>
          <w:kern w:val="0"/>
          <w:szCs w:val="24"/>
        </w:rPr>
        <w:t>、向被害人道歉。</w:t>
      </w:r>
      <w:r w:rsidRPr="00D25361">
        <w:rPr>
          <w:rFonts w:ascii="標楷體" w:eastAsia="標楷體" w:hAnsi="MS Sans Serif"/>
          <w:color w:val="000000"/>
          <w:kern w:val="0"/>
          <w:szCs w:val="24"/>
        </w:rPr>
        <w:t>2</w:t>
      </w:r>
      <w:r w:rsidRPr="00D25361">
        <w:rPr>
          <w:rFonts w:ascii="標楷體" w:eastAsia="標楷體" w:hAnsi="MS Sans Serif" w:hint="eastAsia"/>
          <w:color w:val="000000"/>
          <w:kern w:val="0"/>
          <w:szCs w:val="24"/>
        </w:rPr>
        <w:t>、立悔過書。</w:t>
      </w:r>
      <w:r w:rsidRPr="00D25361">
        <w:rPr>
          <w:rFonts w:ascii="標楷體" w:eastAsia="標楷體" w:hAnsi="MS Sans Serif"/>
          <w:color w:val="000000"/>
          <w:kern w:val="0"/>
          <w:szCs w:val="24"/>
        </w:rPr>
        <w:t>3</w:t>
      </w:r>
      <w:r w:rsidRPr="00D25361">
        <w:rPr>
          <w:rFonts w:ascii="標楷體" w:eastAsia="標楷體" w:hAnsi="MS Sans Serif" w:hint="eastAsia"/>
          <w:color w:val="000000"/>
          <w:kern w:val="0"/>
          <w:szCs w:val="24"/>
        </w:rPr>
        <w:t>、向被害人支付相當數額之財產或非財產上之損害賠償。</w:t>
      </w:r>
      <w:r w:rsidRPr="00D25361">
        <w:rPr>
          <w:rFonts w:ascii="標楷體" w:eastAsia="標楷體" w:hAnsi="MS Sans Serif"/>
          <w:color w:val="000000"/>
          <w:kern w:val="0"/>
          <w:szCs w:val="24"/>
        </w:rPr>
        <w:t>4</w:t>
      </w:r>
      <w:r w:rsidRPr="00D25361">
        <w:rPr>
          <w:rFonts w:ascii="標楷體" w:eastAsia="標楷體" w:hAnsi="MS Sans Serif" w:hint="eastAsia"/>
          <w:color w:val="000000"/>
          <w:kern w:val="0"/>
          <w:szCs w:val="24"/>
        </w:rPr>
        <w:t>、向公庫或指定之公益團體、地方自治團體支付一定之金額。</w:t>
      </w:r>
      <w:r w:rsidRPr="00D25361">
        <w:rPr>
          <w:rFonts w:ascii="標楷體" w:eastAsia="標楷體" w:hAnsi="MS Sans Serif"/>
          <w:color w:val="000000"/>
          <w:kern w:val="0"/>
          <w:szCs w:val="24"/>
        </w:rPr>
        <w:t>5</w:t>
      </w:r>
      <w:r w:rsidRPr="00D25361">
        <w:rPr>
          <w:rFonts w:ascii="標楷體" w:eastAsia="標楷體" w:hAnsi="MS Sans Serif" w:hint="eastAsia"/>
          <w:color w:val="000000"/>
          <w:kern w:val="0"/>
          <w:szCs w:val="24"/>
        </w:rPr>
        <w:t>、向指定之公益團體、地方自治團體或社區提供四十小時以上二百四十小時以下之義務勞務。</w:t>
      </w:r>
      <w:r w:rsidRPr="00D25361">
        <w:rPr>
          <w:rFonts w:ascii="標楷體" w:eastAsia="標楷體" w:hAnsi="MS Sans Serif"/>
          <w:color w:val="000000"/>
          <w:kern w:val="0"/>
          <w:szCs w:val="24"/>
        </w:rPr>
        <w:t>6</w:t>
      </w:r>
      <w:r w:rsidRPr="00D25361">
        <w:rPr>
          <w:rFonts w:ascii="標楷體" w:eastAsia="標楷體" w:hAnsi="MS Sans Serif" w:hint="eastAsia"/>
          <w:color w:val="000000"/>
          <w:kern w:val="0"/>
          <w:szCs w:val="24"/>
        </w:rPr>
        <w:t>、完成戒癮治療、精神治療、心理輔導或其他適當之處遇措施。</w:t>
      </w:r>
      <w:r w:rsidRPr="00D25361">
        <w:rPr>
          <w:rFonts w:ascii="標楷體" w:eastAsia="標楷體" w:hAnsi="MS Sans Serif"/>
          <w:color w:val="000000"/>
          <w:kern w:val="0"/>
          <w:szCs w:val="24"/>
        </w:rPr>
        <w:t>7</w:t>
      </w:r>
      <w:r w:rsidRPr="00D25361">
        <w:rPr>
          <w:rFonts w:ascii="標楷體" w:eastAsia="標楷體" w:hAnsi="MS Sans Serif" w:hint="eastAsia"/>
          <w:color w:val="000000"/>
          <w:kern w:val="0"/>
          <w:szCs w:val="24"/>
        </w:rPr>
        <w:t>、保護被害人安全之必要命令。</w:t>
      </w:r>
      <w:r w:rsidRPr="00D25361">
        <w:rPr>
          <w:rFonts w:ascii="標楷體" w:eastAsia="標楷體" w:hAnsi="MS Sans Serif"/>
          <w:color w:val="000000"/>
          <w:kern w:val="0"/>
          <w:szCs w:val="24"/>
        </w:rPr>
        <w:t>8</w:t>
      </w:r>
      <w:r w:rsidRPr="00D25361">
        <w:rPr>
          <w:rFonts w:ascii="標楷體" w:eastAsia="標楷體" w:hAnsi="MS Sans Serif" w:hint="eastAsia"/>
          <w:color w:val="000000"/>
          <w:kern w:val="0"/>
          <w:szCs w:val="24"/>
        </w:rPr>
        <w:t>、預防再犯所為之必要命令。</w:t>
      </w:r>
    </w:p>
    <w:p w:rsidR="00761D85" w:rsidRPr="00D25361" w:rsidRDefault="00761D85" w:rsidP="00645CB0">
      <w:pPr>
        <w:autoSpaceDE w:val="0"/>
        <w:autoSpaceDN w:val="0"/>
        <w:spacing w:line="420" w:lineRule="exact"/>
        <w:ind w:leftChars="408" w:left="979" w:firstLineChars="200" w:firstLine="480"/>
        <w:jc w:val="both"/>
        <w:rPr>
          <w:rFonts w:ascii="標楷體" w:eastAsia="標楷體"/>
          <w:b/>
          <w:bCs/>
          <w:szCs w:val="24"/>
        </w:rPr>
      </w:pPr>
      <w:r w:rsidRPr="00D25361">
        <w:rPr>
          <w:rFonts w:ascii="標楷體" w:eastAsia="標楷體" w:hAnsi="MS Sans Serif" w:hint="eastAsia"/>
          <w:color w:val="000000"/>
          <w:kern w:val="0"/>
          <w:szCs w:val="24"/>
        </w:rPr>
        <w:t>而行政罰法第</w:t>
      </w:r>
      <w:r w:rsidRPr="00D25361">
        <w:rPr>
          <w:rFonts w:ascii="標楷體" w:eastAsia="標楷體" w:hAnsi="MS Sans Serif"/>
          <w:color w:val="000000"/>
          <w:kern w:val="0"/>
          <w:szCs w:val="24"/>
        </w:rPr>
        <w:t>26</w:t>
      </w:r>
      <w:r w:rsidRPr="00D25361">
        <w:rPr>
          <w:rFonts w:ascii="標楷體" w:eastAsia="標楷體" w:hAnsi="MS Sans Serif" w:hint="eastAsia"/>
          <w:color w:val="000000"/>
          <w:kern w:val="0"/>
          <w:szCs w:val="24"/>
        </w:rPr>
        <w:t>條第</w:t>
      </w:r>
      <w:r w:rsidRPr="00D25361">
        <w:rPr>
          <w:rFonts w:ascii="標楷體" w:eastAsia="標楷體" w:hAnsi="MS Sans Serif"/>
          <w:color w:val="000000"/>
          <w:kern w:val="0"/>
          <w:szCs w:val="24"/>
        </w:rPr>
        <w:t>1</w:t>
      </w:r>
      <w:r w:rsidRPr="00D25361">
        <w:rPr>
          <w:rFonts w:ascii="標楷體" w:eastAsia="標楷體" w:hAnsi="MS Sans Serif" w:hint="eastAsia"/>
          <w:color w:val="000000"/>
          <w:kern w:val="0"/>
          <w:szCs w:val="24"/>
        </w:rPr>
        <w:t>項前段及第</w:t>
      </w:r>
      <w:r w:rsidRPr="00D25361">
        <w:rPr>
          <w:rFonts w:ascii="標楷體" w:eastAsia="標楷體" w:hAnsi="MS Sans Serif"/>
          <w:color w:val="000000"/>
          <w:kern w:val="0"/>
          <w:szCs w:val="24"/>
        </w:rPr>
        <w:t>2</w:t>
      </w:r>
      <w:r w:rsidRPr="00D25361">
        <w:rPr>
          <w:rFonts w:ascii="標楷體" w:eastAsia="標楷體" w:hAnsi="MS Sans Serif" w:hint="eastAsia"/>
          <w:color w:val="000000"/>
          <w:kern w:val="0"/>
          <w:szCs w:val="24"/>
        </w:rPr>
        <w:t>項規定：「一行為同時觸犯刑事法律及違反行政法上義務規定者，依刑事法律處罰之。（第</w:t>
      </w:r>
      <w:r w:rsidRPr="00D25361">
        <w:rPr>
          <w:rFonts w:ascii="標楷體" w:eastAsia="標楷體" w:hAnsi="MS Sans Serif"/>
          <w:color w:val="000000"/>
          <w:kern w:val="0"/>
          <w:szCs w:val="24"/>
        </w:rPr>
        <w:t>1</w:t>
      </w:r>
      <w:r w:rsidRPr="00D25361">
        <w:rPr>
          <w:rFonts w:ascii="標楷體" w:eastAsia="標楷體" w:hAnsi="MS Sans Serif" w:hint="eastAsia"/>
          <w:color w:val="000000"/>
          <w:kern w:val="0"/>
          <w:szCs w:val="24"/>
        </w:rPr>
        <w:t>項前段）前項行為如經不起訴處分或為無罪、免訴、不受理、不付審理之裁判確定者，得依違反行政法上義務規定裁處之。（第</w:t>
      </w:r>
      <w:r w:rsidRPr="00D25361">
        <w:rPr>
          <w:rFonts w:ascii="標楷體" w:eastAsia="標楷體" w:hAnsi="MS Sans Serif"/>
          <w:color w:val="000000"/>
          <w:kern w:val="0"/>
          <w:szCs w:val="24"/>
        </w:rPr>
        <w:t>2</w:t>
      </w:r>
      <w:r w:rsidRPr="00D25361">
        <w:rPr>
          <w:rFonts w:ascii="標楷體" w:eastAsia="標楷體" w:hAnsi="MS Sans Serif" w:hint="eastAsia"/>
          <w:color w:val="000000"/>
          <w:kern w:val="0"/>
          <w:szCs w:val="24"/>
        </w:rPr>
        <w:t>項）」因上開規定未列有「緩起訴處分」，然檢察官為緩起訴處分時得命被告遵守或履行一定事項，可能影響被告財產上權利或身體自由，此時行政機關得否再處以行政罰鍰，有無違反一行為不二罰原則？爰提請討論。</w:t>
      </w:r>
    </w:p>
    <w:p w:rsidR="00761D85" w:rsidRPr="00D25361" w:rsidRDefault="00761D85" w:rsidP="00645CB0">
      <w:pPr>
        <w:autoSpaceDE w:val="0"/>
        <w:autoSpaceDN w:val="0"/>
        <w:spacing w:line="420" w:lineRule="exact"/>
        <w:ind w:leftChars="227" w:left="917" w:hangingChars="155" w:hanging="372"/>
        <w:jc w:val="both"/>
        <w:rPr>
          <w:rFonts w:ascii="標楷體" w:eastAsia="標楷體"/>
          <w:b/>
          <w:bCs/>
          <w:szCs w:val="24"/>
        </w:rPr>
      </w:pPr>
      <w:r>
        <w:rPr>
          <w:rFonts w:ascii="標楷體" w:eastAsia="標楷體" w:hint="eastAsia"/>
          <w:b/>
          <w:bCs/>
          <w:szCs w:val="24"/>
        </w:rPr>
        <w:t>二</w:t>
      </w:r>
      <w:r w:rsidRPr="00D25361">
        <w:rPr>
          <w:rFonts w:ascii="標楷體" w:eastAsia="標楷體" w:hint="eastAsia"/>
          <w:b/>
          <w:bCs/>
          <w:szCs w:val="24"/>
        </w:rPr>
        <w:t>、法務部法律事務司初步研究意見：</w:t>
      </w:r>
    </w:p>
    <w:p w:rsidR="00761D85" w:rsidRPr="00D25361" w:rsidRDefault="00761D85" w:rsidP="00645CB0">
      <w:pPr>
        <w:autoSpaceDE w:val="0"/>
        <w:autoSpaceDN w:val="0"/>
        <w:spacing w:line="420" w:lineRule="exact"/>
        <w:ind w:leftChars="227" w:left="917" w:hangingChars="155" w:hanging="372"/>
        <w:jc w:val="both"/>
        <w:rPr>
          <w:rFonts w:ascii="標楷體" w:eastAsia="標楷體"/>
          <w:b/>
          <w:bCs/>
          <w:szCs w:val="24"/>
        </w:rPr>
      </w:pPr>
      <w:r w:rsidRPr="00D25361">
        <w:rPr>
          <w:rFonts w:ascii="標楷體" w:eastAsia="標楷體" w:hint="eastAsia"/>
          <w:b/>
          <w:bCs/>
          <w:szCs w:val="24"/>
        </w:rPr>
        <w:t>甲說（肯定說）：</w:t>
      </w:r>
    </w:p>
    <w:p w:rsidR="00761D85" w:rsidRPr="00D25361" w:rsidRDefault="00761D85" w:rsidP="00645CB0">
      <w:pPr>
        <w:autoSpaceDE w:val="0"/>
        <w:autoSpaceDN w:val="0"/>
        <w:spacing w:line="420" w:lineRule="exact"/>
        <w:ind w:leftChars="236" w:left="566" w:firstLineChars="190" w:firstLine="456"/>
        <w:jc w:val="both"/>
        <w:rPr>
          <w:rFonts w:ascii="標楷體" w:eastAsia="標楷體"/>
          <w:szCs w:val="24"/>
        </w:rPr>
      </w:pPr>
      <w:r w:rsidRPr="00D25361">
        <w:rPr>
          <w:rFonts w:ascii="標楷體" w:eastAsia="標楷體" w:hint="eastAsia"/>
          <w:szCs w:val="24"/>
        </w:rPr>
        <w:t>緩起訴處分可說是一種便宜不起訴處分，檢察官為緩起訴處分時依刑事訴訟法第</w:t>
      </w:r>
      <w:r w:rsidRPr="00D25361">
        <w:rPr>
          <w:rFonts w:ascii="標楷體" w:eastAsia="標楷體"/>
          <w:szCs w:val="24"/>
        </w:rPr>
        <w:t>253</w:t>
      </w:r>
      <w:r w:rsidRPr="00D25361">
        <w:rPr>
          <w:rFonts w:ascii="標楷體" w:eastAsia="標楷體" w:hint="eastAsia"/>
          <w:szCs w:val="24"/>
        </w:rPr>
        <w:t>條之</w:t>
      </w:r>
      <w:r w:rsidRPr="00D25361">
        <w:rPr>
          <w:rFonts w:ascii="標楷體" w:eastAsia="標楷體"/>
          <w:szCs w:val="24"/>
        </w:rPr>
        <w:t>2</w:t>
      </w:r>
      <w:r w:rsidRPr="00D25361">
        <w:rPr>
          <w:rFonts w:ascii="標楷體" w:eastAsia="標楷體" w:hint="eastAsia"/>
          <w:szCs w:val="24"/>
        </w:rPr>
        <w:t>第</w:t>
      </w:r>
      <w:r w:rsidRPr="00D25361">
        <w:rPr>
          <w:rFonts w:ascii="標楷體" w:eastAsia="標楷體"/>
          <w:szCs w:val="24"/>
        </w:rPr>
        <w:t>1</w:t>
      </w:r>
      <w:r w:rsidRPr="00D25361">
        <w:rPr>
          <w:rFonts w:ascii="標楷體" w:eastAsia="標楷體" w:hint="eastAsia"/>
          <w:szCs w:val="24"/>
        </w:rPr>
        <w:t>項規定對被告所為之指示及課予之負擔，係一種特殊的處遇措施，並非刑罰。因此，刑事案件經檢察官為緩起訴處分確定後，宜視同不起訴處分確定，依行政罰法第</w:t>
      </w:r>
      <w:r w:rsidRPr="00D25361">
        <w:rPr>
          <w:rFonts w:ascii="標楷體" w:eastAsia="標楷體"/>
          <w:szCs w:val="24"/>
        </w:rPr>
        <w:t>26</w:t>
      </w:r>
      <w:r w:rsidRPr="00D25361">
        <w:rPr>
          <w:rFonts w:ascii="標楷體" w:eastAsia="標楷體" w:hint="eastAsia"/>
          <w:szCs w:val="24"/>
        </w:rPr>
        <w:t>條第</w:t>
      </w:r>
      <w:r w:rsidRPr="00D25361">
        <w:rPr>
          <w:rFonts w:ascii="標楷體" w:eastAsia="標楷體"/>
          <w:szCs w:val="24"/>
        </w:rPr>
        <w:t>2</w:t>
      </w:r>
      <w:r w:rsidRPr="00D25361">
        <w:rPr>
          <w:rFonts w:ascii="標楷體" w:eastAsia="標楷體" w:hint="eastAsia"/>
          <w:szCs w:val="24"/>
        </w:rPr>
        <w:t>項規定，得依違反行政法上義務規定裁處之。</w:t>
      </w:r>
    </w:p>
    <w:p w:rsidR="00761D85" w:rsidRPr="00D25361" w:rsidRDefault="00761D85" w:rsidP="00645CB0">
      <w:pPr>
        <w:autoSpaceDE w:val="0"/>
        <w:autoSpaceDN w:val="0"/>
        <w:spacing w:line="420" w:lineRule="exact"/>
        <w:ind w:leftChars="227" w:left="917" w:hangingChars="155" w:hanging="372"/>
        <w:jc w:val="both"/>
        <w:rPr>
          <w:rFonts w:ascii="標楷體" w:eastAsia="標楷體"/>
          <w:b/>
          <w:bCs/>
          <w:szCs w:val="24"/>
        </w:rPr>
      </w:pPr>
      <w:r w:rsidRPr="00D25361">
        <w:rPr>
          <w:rFonts w:ascii="標楷體" w:eastAsia="標楷體" w:hint="eastAsia"/>
          <w:b/>
          <w:bCs/>
          <w:szCs w:val="24"/>
        </w:rPr>
        <w:t>乙說（否定說）</w:t>
      </w:r>
    </w:p>
    <w:p w:rsidR="00761D85" w:rsidRPr="00D25361" w:rsidRDefault="00761D85" w:rsidP="00645CB0">
      <w:pPr>
        <w:autoSpaceDE w:val="0"/>
        <w:autoSpaceDN w:val="0"/>
        <w:spacing w:line="420" w:lineRule="exact"/>
        <w:ind w:leftChars="236" w:left="566" w:firstLineChars="195" w:firstLine="468"/>
        <w:jc w:val="both"/>
        <w:rPr>
          <w:rFonts w:ascii="標楷體" w:eastAsia="標楷體"/>
          <w:szCs w:val="24"/>
        </w:rPr>
      </w:pPr>
      <w:r w:rsidRPr="00D25361">
        <w:rPr>
          <w:rFonts w:ascii="標楷體" w:eastAsia="標楷體" w:hint="eastAsia"/>
          <w:szCs w:val="24"/>
        </w:rPr>
        <w:t>檢察官為緩起訴處分時依刑事訴訟法第</w:t>
      </w:r>
      <w:r w:rsidRPr="00D25361">
        <w:rPr>
          <w:rFonts w:ascii="標楷體" w:eastAsia="標楷體"/>
          <w:szCs w:val="24"/>
        </w:rPr>
        <w:t>253</w:t>
      </w:r>
      <w:r w:rsidRPr="00D25361">
        <w:rPr>
          <w:rFonts w:ascii="標楷體" w:eastAsia="標楷體" w:hint="eastAsia"/>
          <w:szCs w:val="24"/>
        </w:rPr>
        <w:t>條之</w:t>
      </w:r>
      <w:r w:rsidRPr="00D25361">
        <w:rPr>
          <w:rFonts w:ascii="標楷體" w:eastAsia="標楷體"/>
          <w:szCs w:val="24"/>
        </w:rPr>
        <w:t>2</w:t>
      </w:r>
      <w:r w:rsidRPr="00D25361">
        <w:rPr>
          <w:rFonts w:ascii="標楷體" w:eastAsia="標楷體" w:hint="eastAsia"/>
          <w:szCs w:val="24"/>
        </w:rPr>
        <w:t>第</w:t>
      </w:r>
      <w:r w:rsidRPr="00D25361">
        <w:rPr>
          <w:rFonts w:ascii="標楷體" w:eastAsia="標楷體"/>
          <w:szCs w:val="24"/>
        </w:rPr>
        <w:t>1</w:t>
      </w:r>
      <w:r w:rsidRPr="00D25361">
        <w:rPr>
          <w:rFonts w:ascii="標楷體" w:eastAsia="標楷體" w:hint="eastAsia"/>
          <w:szCs w:val="24"/>
        </w:rPr>
        <w:t>項規定對被告所為之指示及課予之負擔雖非刑罰，但對被告多少都有財產減少及自由受限之影響，性質上可說是實質的制裁，且緩起訴制度雖以特別預防為優先考量，但在具體個案決定上，其實亦達到一般預防的作用及報應理念，基於一行為不二罰原則，被告既已就其行為受到實質之制裁，自不應因同一行為再受到國家的處罰，況行政罰法第</w:t>
      </w:r>
      <w:r w:rsidRPr="00D25361">
        <w:rPr>
          <w:rFonts w:ascii="標楷體" w:eastAsia="標楷體"/>
          <w:szCs w:val="24"/>
        </w:rPr>
        <w:t>26</w:t>
      </w:r>
      <w:r w:rsidRPr="00D25361">
        <w:rPr>
          <w:rFonts w:ascii="標楷體" w:eastAsia="標楷體" w:hint="eastAsia"/>
          <w:szCs w:val="24"/>
        </w:rPr>
        <w:t>條第</w:t>
      </w:r>
      <w:r w:rsidRPr="00D25361">
        <w:rPr>
          <w:rFonts w:ascii="標楷體" w:eastAsia="標楷體"/>
          <w:szCs w:val="24"/>
        </w:rPr>
        <w:t>2</w:t>
      </w:r>
      <w:r w:rsidRPr="00D25361">
        <w:rPr>
          <w:rFonts w:ascii="標楷體" w:eastAsia="標楷體" w:hint="eastAsia"/>
          <w:szCs w:val="24"/>
        </w:rPr>
        <w:t>項中亦未列「緩起訴處分」，故檢察官為緩起訴處分時如已對被告課予指示及負擔，宜視為已依刑事法律受到處罰，不得再處以行政罰鍰。</w:t>
      </w:r>
    </w:p>
    <w:p w:rsidR="00761D85" w:rsidRPr="00D25361" w:rsidRDefault="00761D85" w:rsidP="00645CB0">
      <w:pPr>
        <w:autoSpaceDE w:val="0"/>
        <w:autoSpaceDN w:val="0"/>
        <w:spacing w:line="420" w:lineRule="exact"/>
        <w:ind w:leftChars="227" w:left="917" w:hangingChars="155" w:hanging="372"/>
        <w:jc w:val="both"/>
        <w:rPr>
          <w:rFonts w:ascii="標楷體" w:eastAsia="標楷體"/>
          <w:b/>
          <w:bCs/>
          <w:szCs w:val="24"/>
        </w:rPr>
      </w:pPr>
      <w:r w:rsidRPr="00D25361">
        <w:rPr>
          <w:rFonts w:ascii="標楷體" w:eastAsia="標楷體" w:hint="eastAsia"/>
          <w:b/>
          <w:bCs/>
          <w:szCs w:val="24"/>
        </w:rPr>
        <w:t>丙說（依具體個案情形認定）</w:t>
      </w:r>
    </w:p>
    <w:p w:rsidR="00761D85" w:rsidRPr="00D25361" w:rsidRDefault="00761D85" w:rsidP="00645CB0">
      <w:pPr>
        <w:autoSpaceDE w:val="0"/>
        <w:autoSpaceDN w:val="0"/>
        <w:spacing w:line="420" w:lineRule="exact"/>
        <w:ind w:leftChars="236" w:left="566" w:firstLineChars="195" w:firstLine="468"/>
        <w:jc w:val="both"/>
        <w:rPr>
          <w:rFonts w:ascii="標楷體" w:eastAsia="標楷體" w:hAnsi="標楷體"/>
          <w:szCs w:val="24"/>
        </w:rPr>
      </w:pPr>
      <w:r w:rsidRPr="00D25361">
        <w:rPr>
          <w:rFonts w:ascii="標楷體" w:eastAsia="標楷體" w:hAnsi="標楷體" w:hint="eastAsia"/>
          <w:szCs w:val="24"/>
        </w:rPr>
        <w:t>檢察官為緩起訴處分時依刑事訴訟法第</w:t>
      </w:r>
      <w:r w:rsidRPr="00D25361">
        <w:rPr>
          <w:rFonts w:ascii="標楷體" w:eastAsia="標楷體" w:hAnsi="標楷體"/>
          <w:szCs w:val="24"/>
        </w:rPr>
        <w:t>253</w:t>
      </w:r>
      <w:r w:rsidRPr="00D25361">
        <w:rPr>
          <w:rFonts w:ascii="標楷體" w:eastAsia="標楷體" w:hAnsi="標楷體" w:hint="eastAsia"/>
          <w:szCs w:val="24"/>
        </w:rPr>
        <w:t>條之</w:t>
      </w:r>
      <w:r w:rsidRPr="00D25361">
        <w:rPr>
          <w:rFonts w:ascii="標楷體" w:eastAsia="標楷體" w:hAnsi="標楷體"/>
          <w:szCs w:val="24"/>
        </w:rPr>
        <w:t>2</w:t>
      </w:r>
      <w:r w:rsidRPr="00D25361">
        <w:rPr>
          <w:rFonts w:ascii="標楷體" w:eastAsia="標楷體" w:hAnsi="標楷體" w:hint="eastAsia"/>
          <w:szCs w:val="24"/>
        </w:rPr>
        <w:t>第</w:t>
      </w:r>
      <w:r w:rsidRPr="00D25361">
        <w:rPr>
          <w:rFonts w:ascii="標楷體" w:eastAsia="標楷體" w:hAnsi="標楷體"/>
          <w:szCs w:val="24"/>
        </w:rPr>
        <w:t>1</w:t>
      </w:r>
      <w:r w:rsidRPr="00D25361">
        <w:rPr>
          <w:rFonts w:ascii="標楷體" w:eastAsia="標楷體" w:hAnsi="標楷體" w:hint="eastAsia"/>
          <w:szCs w:val="24"/>
        </w:rPr>
        <w:t>項規定對被告所為之指示及課予之負擔，或有</w:t>
      </w:r>
      <w:r w:rsidRPr="00D25361">
        <w:rPr>
          <w:rFonts w:ascii="標楷體" w:eastAsia="標楷體" w:hAnsi="標楷體" w:hint="eastAsia"/>
          <w:color w:val="000000"/>
          <w:kern w:val="0"/>
          <w:szCs w:val="24"/>
        </w:rPr>
        <w:t>影響被告財產上權利或身體自由，惟亦有基於特別預防理論，為使被告「再社會化」所為之措施（如該條第</w:t>
      </w:r>
      <w:r w:rsidRPr="00D25361">
        <w:rPr>
          <w:rFonts w:ascii="標楷體" w:eastAsia="標楷體" w:hAnsi="標楷體"/>
          <w:color w:val="000000"/>
          <w:kern w:val="0"/>
          <w:szCs w:val="24"/>
        </w:rPr>
        <w:t>6</w:t>
      </w:r>
      <w:r w:rsidRPr="00D25361">
        <w:rPr>
          <w:rFonts w:ascii="標楷體" w:eastAsia="標楷體" w:hAnsi="標楷體" w:hint="eastAsia"/>
          <w:color w:val="000000"/>
          <w:kern w:val="0"/>
          <w:szCs w:val="24"/>
        </w:rPr>
        <w:t>款所定治療），並非均屬實質「制裁」。又檢察官為緩起訴處分時，並非均於處分中</w:t>
      </w:r>
      <w:r w:rsidRPr="00D25361">
        <w:rPr>
          <w:rFonts w:ascii="標楷體" w:eastAsia="標楷體" w:hAnsi="標楷體" w:hint="eastAsia"/>
          <w:szCs w:val="24"/>
        </w:rPr>
        <w:t>課予指示及負擔，可能視個案情形而未附任何指示或負擔，於此情形，緩起訴期間期滿確定，則與一般不起訴處分未命被告</w:t>
      </w:r>
      <w:r w:rsidRPr="00D25361">
        <w:rPr>
          <w:rFonts w:ascii="標楷體" w:eastAsia="標楷體" w:hAnsi="標楷體" w:hint="eastAsia"/>
          <w:color w:val="000000"/>
          <w:kern w:val="0"/>
          <w:szCs w:val="24"/>
        </w:rPr>
        <w:t>遵守或履行一定事項</w:t>
      </w:r>
      <w:r w:rsidRPr="00D25361">
        <w:rPr>
          <w:rFonts w:ascii="標楷體" w:eastAsia="標楷體" w:hAnsi="標楷體" w:hint="eastAsia"/>
          <w:szCs w:val="24"/>
        </w:rPr>
        <w:t>之情形相同，是以，應視緩起訴處分具體個案情形認定，不宜概以論之。</w:t>
      </w:r>
    </w:p>
    <w:p w:rsidR="00761D85" w:rsidRPr="00D25361" w:rsidRDefault="00761D85" w:rsidP="00645CB0">
      <w:pPr>
        <w:pStyle w:val="a0"/>
        <w:spacing w:beforeLines="0" w:afterLines="0" w:line="400" w:lineRule="exact"/>
        <w:ind w:left="480" w:hangingChars="200" w:hanging="480"/>
        <w:rPr>
          <w:b w:val="0"/>
          <w:bCs/>
          <w:sz w:val="24"/>
          <w:szCs w:val="24"/>
        </w:rPr>
      </w:pPr>
      <w:r w:rsidRPr="00D25361">
        <w:rPr>
          <w:rFonts w:hint="eastAsia"/>
          <w:sz w:val="24"/>
          <w:szCs w:val="24"/>
        </w:rPr>
        <w:t>柒、會議結論：</w:t>
      </w:r>
      <w:r w:rsidRPr="00D25361">
        <w:rPr>
          <w:rFonts w:hint="eastAsia"/>
          <w:b w:val="0"/>
          <w:bCs/>
          <w:sz w:val="24"/>
          <w:szCs w:val="24"/>
        </w:rPr>
        <w:t>本議題採甲說</w:t>
      </w:r>
      <w:r w:rsidRPr="00D25361">
        <w:rPr>
          <w:b w:val="0"/>
          <w:bCs/>
          <w:sz w:val="24"/>
          <w:szCs w:val="24"/>
        </w:rPr>
        <w:t>9</w:t>
      </w:r>
      <w:r w:rsidRPr="00D25361">
        <w:rPr>
          <w:rFonts w:hint="eastAsia"/>
          <w:b w:val="0"/>
          <w:bCs/>
          <w:sz w:val="24"/>
          <w:szCs w:val="24"/>
        </w:rPr>
        <w:t>人；乙說</w:t>
      </w:r>
      <w:r w:rsidRPr="00D25361">
        <w:rPr>
          <w:b w:val="0"/>
          <w:bCs/>
          <w:sz w:val="24"/>
          <w:szCs w:val="24"/>
        </w:rPr>
        <w:t>1</w:t>
      </w:r>
      <w:r w:rsidRPr="00D25361">
        <w:rPr>
          <w:rFonts w:hint="eastAsia"/>
          <w:b w:val="0"/>
          <w:bCs/>
          <w:sz w:val="24"/>
          <w:szCs w:val="24"/>
        </w:rPr>
        <w:t>人；丙說</w:t>
      </w:r>
      <w:r w:rsidRPr="00D25361">
        <w:rPr>
          <w:b w:val="0"/>
          <w:bCs/>
          <w:sz w:val="24"/>
          <w:szCs w:val="24"/>
        </w:rPr>
        <w:t>1</w:t>
      </w:r>
      <w:r w:rsidRPr="00D25361">
        <w:rPr>
          <w:rFonts w:hint="eastAsia"/>
          <w:b w:val="0"/>
          <w:bCs/>
          <w:sz w:val="24"/>
          <w:szCs w:val="24"/>
        </w:rPr>
        <w:t>人。因此，決議採甲說：緩起訴者乃附條件的不起訴處分，亦即是不起訴的一種，此觀諸刑事訴訟法第</w:t>
      </w:r>
      <w:r w:rsidRPr="00D25361">
        <w:rPr>
          <w:b w:val="0"/>
          <w:bCs/>
          <w:sz w:val="24"/>
          <w:szCs w:val="24"/>
        </w:rPr>
        <w:t>256</w:t>
      </w:r>
      <w:r w:rsidRPr="00D25361">
        <w:rPr>
          <w:rFonts w:hint="eastAsia"/>
          <w:b w:val="0"/>
          <w:bCs/>
          <w:sz w:val="24"/>
          <w:szCs w:val="24"/>
        </w:rPr>
        <w:t>條規定自明，既為不起訴即依不起訴處理。</w:t>
      </w:r>
      <w:r w:rsidRPr="00D25361">
        <w:rPr>
          <w:rFonts w:ascii="標楷體" w:hint="eastAsia"/>
          <w:b w:val="0"/>
          <w:bCs/>
          <w:sz w:val="24"/>
          <w:szCs w:val="24"/>
        </w:rPr>
        <w:t>檢察官為緩起訴處分時依刑事訴訟法第</w:t>
      </w:r>
      <w:r w:rsidRPr="00D25361">
        <w:rPr>
          <w:rFonts w:ascii="標楷體"/>
          <w:b w:val="0"/>
          <w:bCs/>
          <w:sz w:val="24"/>
          <w:szCs w:val="24"/>
        </w:rPr>
        <w:t>253</w:t>
      </w:r>
      <w:r w:rsidRPr="00D25361">
        <w:rPr>
          <w:rFonts w:ascii="標楷體" w:hint="eastAsia"/>
          <w:b w:val="0"/>
          <w:bCs/>
          <w:sz w:val="24"/>
          <w:szCs w:val="24"/>
        </w:rPr>
        <w:t>條之</w:t>
      </w:r>
      <w:r w:rsidRPr="00D25361">
        <w:rPr>
          <w:rFonts w:ascii="標楷體"/>
          <w:b w:val="0"/>
          <w:bCs/>
          <w:sz w:val="24"/>
          <w:szCs w:val="24"/>
        </w:rPr>
        <w:t>2</w:t>
      </w:r>
      <w:r w:rsidRPr="00D25361">
        <w:rPr>
          <w:rFonts w:ascii="標楷體" w:hint="eastAsia"/>
          <w:b w:val="0"/>
          <w:bCs/>
          <w:sz w:val="24"/>
          <w:szCs w:val="24"/>
        </w:rPr>
        <w:t>第</w:t>
      </w:r>
      <w:r w:rsidRPr="00D25361">
        <w:rPr>
          <w:rFonts w:ascii="標楷體"/>
          <w:b w:val="0"/>
          <w:bCs/>
          <w:sz w:val="24"/>
          <w:szCs w:val="24"/>
        </w:rPr>
        <w:t>1</w:t>
      </w:r>
      <w:r w:rsidRPr="00D25361">
        <w:rPr>
          <w:rFonts w:ascii="標楷體" w:hint="eastAsia"/>
          <w:b w:val="0"/>
          <w:bCs/>
          <w:sz w:val="24"/>
          <w:szCs w:val="24"/>
        </w:rPr>
        <w:t>項規定對被告所為之指示及課予之負擔，係一種特殊的處遇措施，並非刑罰。因此，刑事案件經檢察官為緩起訴處分確定後，宜視同不起訴處分確定，依行政罰法第</w:t>
      </w:r>
      <w:r w:rsidRPr="00D25361">
        <w:rPr>
          <w:rFonts w:ascii="標楷體"/>
          <w:b w:val="0"/>
          <w:bCs/>
          <w:sz w:val="24"/>
          <w:szCs w:val="24"/>
        </w:rPr>
        <w:t>26</w:t>
      </w:r>
      <w:r w:rsidRPr="00D25361">
        <w:rPr>
          <w:rFonts w:ascii="標楷體" w:hint="eastAsia"/>
          <w:b w:val="0"/>
          <w:bCs/>
          <w:sz w:val="24"/>
          <w:szCs w:val="24"/>
        </w:rPr>
        <w:t>條第</w:t>
      </w:r>
      <w:r w:rsidRPr="00D25361">
        <w:rPr>
          <w:rFonts w:ascii="標楷體"/>
          <w:b w:val="0"/>
          <w:bCs/>
          <w:sz w:val="24"/>
          <w:szCs w:val="24"/>
        </w:rPr>
        <w:t>2</w:t>
      </w:r>
      <w:r w:rsidRPr="00D25361">
        <w:rPr>
          <w:rFonts w:ascii="標楷體" w:hint="eastAsia"/>
          <w:b w:val="0"/>
          <w:bCs/>
          <w:sz w:val="24"/>
          <w:szCs w:val="24"/>
        </w:rPr>
        <w:t>項規定，得依違反行政法上義務規定裁處之。</w:t>
      </w:r>
    </w:p>
    <w:p w:rsidR="00761D85" w:rsidRPr="00D25361" w:rsidRDefault="00761D85" w:rsidP="00645CB0">
      <w:pPr>
        <w:pStyle w:val="a0"/>
        <w:spacing w:beforeLines="0" w:afterLines="0" w:line="420" w:lineRule="exact"/>
        <w:rPr>
          <w:sz w:val="24"/>
          <w:szCs w:val="24"/>
        </w:rPr>
      </w:pPr>
      <w:r>
        <w:rPr>
          <w:rFonts w:hint="eastAsia"/>
          <w:sz w:val="24"/>
          <w:szCs w:val="24"/>
        </w:rPr>
        <w:t>捌</w:t>
      </w:r>
      <w:r w:rsidRPr="00D25361">
        <w:rPr>
          <w:rFonts w:hint="eastAsia"/>
          <w:sz w:val="24"/>
          <w:szCs w:val="24"/>
        </w:rPr>
        <w:t>、散會（十五時五十分）。</w:t>
      </w:r>
    </w:p>
    <w:p w:rsidR="00761D85" w:rsidRPr="00D25361" w:rsidRDefault="00761D85" w:rsidP="00645CB0">
      <w:pPr>
        <w:pStyle w:val="a"/>
        <w:spacing w:line="420" w:lineRule="exact"/>
        <w:ind w:leftChars="104" w:firstLineChars="1700" w:firstLine="4080"/>
        <w:rPr>
          <w:sz w:val="24"/>
          <w:szCs w:val="24"/>
        </w:rPr>
      </w:pPr>
      <w:r w:rsidRPr="00D25361">
        <w:rPr>
          <w:rFonts w:hint="eastAsia"/>
          <w:sz w:val="24"/>
          <w:szCs w:val="24"/>
        </w:rPr>
        <w:t>主席：朱</w:t>
      </w:r>
      <w:r>
        <w:rPr>
          <w:sz w:val="24"/>
          <w:szCs w:val="24"/>
        </w:rPr>
        <w:t xml:space="preserve">  </w:t>
      </w:r>
      <w:r w:rsidRPr="00D25361">
        <w:rPr>
          <w:rFonts w:hint="eastAsia"/>
          <w:sz w:val="24"/>
          <w:szCs w:val="24"/>
        </w:rPr>
        <w:t>楠</w:t>
      </w:r>
    </w:p>
    <w:p w:rsidR="00761D85" w:rsidRPr="00D25361" w:rsidRDefault="00761D85" w:rsidP="00645CB0">
      <w:pPr>
        <w:pStyle w:val="a"/>
        <w:spacing w:line="420" w:lineRule="exact"/>
        <w:ind w:leftChars="104" w:firstLineChars="1700" w:firstLine="4080"/>
        <w:rPr>
          <w:sz w:val="24"/>
          <w:szCs w:val="24"/>
        </w:rPr>
      </w:pPr>
      <w:r w:rsidRPr="00D25361">
        <w:rPr>
          <w:rFonts w:hint="eastAsia"/>
          <w:sz w:val="24"/>
          <w:szCs w:val="24"/>
        </w:rPr>
        <w:t>紀錄：陳忠光</w:t>
      </w:r>
    </w:p>
    <w:p w:rsidR="00761D85" w:rsidRDefault="00761D85" w:rsidP="0041191B">
      <w:pPr>
        <w:pStyle w:val="a"/>
        <w:spacing w:line="420" w:lineRule="exact"/>
        <w:ind w:leftChars="104"/>
      </w:pPr>
      <w:r>
        <w:t xml:space="preserve"> </w:t>
      </w:r>
    </w:p>
    <w:sectPr w:rsidR="00761D85" w:rsidSect="005C34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D85" w:rsidRDefault="00761D85" w:rsidP="00645CB0">
      <w:r>
        <w:separator/>
      </w:r>
    </w:p>
  </w:endnote>
  <w:endnote w:type="continuationSeparator" w:id="0">
    <w:p w:rsidR="00761D85" w:rsidRDefault="00761D85" w:rsidP="00645CB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85" w:rsidRDefault="00761D85">
    <w:pPr>
      <w:pStyle w:val="Footer"/>
      <w:jc w:val="center"/>
    </w:pPr>
    <w:fldSimple w:instr=" PAGE   \* MERGEFORMAT ">
      <w:r w:rsidRPr="0041191B">
        <w:rPr>
          <w:noProof/>
          <w:lang w:val="zh-TW"/>
        </w:rPr>
        <w:t>2</w:t>
      </w:r>
    </w:fldSimple>
  </w:p>
  <w:p w:rsidR="00761D85" w:rsidRDefault="00761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D85" w:rsidRDefault="00761D85" w:rsidP="00645CB0">
      <w:r>
        <w:separator/>
      </w:r>
    </w:p>
  </w:footnote>
  <w:footnote w:type="continuationSeparator" w:id="0">
    <w:p w:rsidR="00761D85" w:rsidRDefault="00761D85" w:rsidP="0064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187537"/>
    <w:rsid w:val="001F0489"/>
    <w:rsid w:val="00356C99"/>
    <w:rsid w:val="00357E1E"/>
    <w:rsid w:val="0041191B"/>
    <w:rsid w:val="00437116"/>
    <w:rsid w:val="00495B93"/>
    <w:rsid w:val="004F1335"/>
    <w:rsid w:val="005C349A"/>
    <w:rsid w:val="00645CB0"/>
    <w:rsid w:val="006D53F1"/>
    <w:rsid w:val="006F1CAF"/>
    <w:rsid w:val="00761D85"/>
    <w:rsid w:val="007D6A9E"/>
    <w:rsid w:val="00810545"/>
    <w:rsid w:val="00896677"/>
    <w:rsid w:val="008F17B4"/>
    <w:rsid w:val="00920A45"/>
    <w:rsid w:val="009858DE"/>
    <w:rsid w:val="00BD1678"/>
    <w:rsid w:val="00D025CB"/>
    <w:rsid w:val="00D1347E"/>
    <w:rsid w:val="00D25361"/>
    <w:rsid w:val="00E60A39"/>
    <w:rsid w:val="00E915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semiHidden/>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262</Words>
  <Characters>1497</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法務部行政罰法諮詢小組</dc:title>
  <dc:subject/>
  <dc:creator>yun</dc:creator>
  <cp:keywords/>
  <dc:description/>
  <cp:lastModifiedBy>ycchang</cp:lastModifiedBy>
  <cp:revision>3</cp:revision>
  <dcterms:created xsi:type="dcterms:W3CDTF">2015-05-05T07:08:00Z</dcterms:created>
  <dcterms:modified xsi:type="dcterms:W3CDTF">2015-05-05T07:12:00Z</dcterms:modified>
</cp:coreProperties>
</file>