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93" w:rsidRDefault="00996393" w:rsidP="00996393">
      <w:pPr>
        <w:ind w:left="2" w:right="-29" w:firstLineChars="0" w:firstLine="0"/>
        <w:rPr>
          <w:rFonts w:ascii="Times New Roman" w:hAnsi="Times New Roman" w:cs="Times New Roman" w:hint="eastAsia"/>
          <w:color w:val="000000"/>
          <w:spacing w:val="8"/>
          <w:sz w:val="15"/>
          <w:szCs w:val="15"/>
          <w:shd w:val="clear" w:color="auto" w:fill="FFFCDF"/>
        </w:rPr>
      </w:pPr>
      <w:r>
        <w:rPr>
          <w:rFonts w:ascii="Times New Roman" w:hAnsi="Times New Roman" w:cs="Times New Roman"/>
          <w:color w:val="000000"/>
          <w:spacing w:val="8"/>
          <w:sz w:val="15"/>
          <w:szCs w:val="15"/>
          <w:shd w:val="clear" w:color="auto" w:fill="FFFCDF"/>
        </w:rPr>
        <w:t>一、按刑事訴訟法第二百三十一條之</w:t>
      </w:r>
      <w:proofErr w:type="gramStart"/>
      <w:r>
        <w:rPr>
          <w:rFonts w:ascii="Times New Roman" w:hAnsi="Times New Roman" w:cs="Times New Roman"/>
          <w:color w:val="000000"/>
          <w:spacing w:val="8"/>
          <w:sz w:val="15"/>
          <w:szCs w:val="15"/>
          <w:shd w:val="clear" w:color="auto" w:fill="FFFCDF"/>
        </w:rPr>
        <w:t>一</w:t>
      </w:r>
      <w:proofErr w:type="gramEnd"/>
      <w:r>
        <w:rPr>
          <w:rFonts w:ascii="Times New Roman" w:hAnsi="Times New Roman" w:cs="Times New Roman"/>
          <w:color w:val="000000"/>
          <w:spacing w:val="8"/>
          <w:sz w:val="15"/>
          <w:szCs w:val="15"/>
          <w:shd w:val="clear" w:color="auto" w:fill="FFFCDF"/>
        </w:rPr>
        <w:t>有關案件調查未完備發</w:t>
      </w:r>
      <w:proofErr w:type="gramStart"/>
      <w:r>
        <w:rPr>
          <w:rFonts w:ascii="Times New Roman" w:hAnsi="Times New Roman" w:cs="Times New Roman"/>
          <w:color w:val="000000"/>
          <w:spacing w:val="8"/>
          <w:sz w:val="15"/>
          <w:szCs w:val="15"/>
          <w:shd w:val="clear" w:color="auto" w:fill="FFFCDF"/>
        </w:rPr>
        <w:t>回補查者</w:t>
      </w:r>
      <w:proofErr w:type="gramEnd"/>
      <w:r>
        <w:rPr>
          <w:rFonts w:ascii="Times New Roman" w:hAnsi="Times New Roman" w:cs="Times New Roman"/>
          <w:color w:val="000000"/>
          <w:spacing w:val="8"/>
          <w:sz w:val="15"/>
          <w:szCs w:val="15"/>
          <w:shd w:val="clear" w:color="auto" w:fill="FFFCDF"/>
        </w:rPr>
        <w:t>，僅限於司法警察官或司法警察移送之案件而言，政風人員並非司法警察官或司法警察，並無該條之適用，檢察官使用「發回調查案件指揮書」尚有不宜。</w:t>
      </w:r>
    </w:p>
    <w:p w:rsidR="00C5799C" w:rsidRDefault="00996393" w:rsidP="00996393">
      <w:pPr>
        <w:ind w:left="2" w:right="-29" w:firstLineChars="0" w:firstLine="0"/>
      </w:pPr>
      <w:r>
        <w:rPr>
          <w:rFonts w:ascii="Times New Roman" w:hAnsi="Times New Roman" w:cs="Times New Roman"/>
          <w:color w:val="000000"/>
          <w:spacing w:val="8"/>
          <w:sz w:val="15"/>
          <w:szCs w:val="15"/>
          <w:shd w:val="clear" w:color="auto" w:fill="FFFCDF"/>
        </w:rPr>
        <w:t>二、惟若案件涉及機關人員貪瀆事宜，依政風機構人員設置條例第五條第三款之規定，仍請本於職權範圍內協助調查。</w:t>
      </w:r>
    </w:p>
    <w:sectPr w:rsidR="00C5799C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6393"/>
    <w:rsid w:val="00121408"/>
    <w:rsid w:val="001D6D24"/>
    <w:rsid w:val="00211642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96393"/>
    <w:rsid w:val="009B4196"/>
    <w:rsid w:val="009C4E6D"/>
    <w:rsid w:val="00A5431F"/>
    <w:rsid w:val="00A7075B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2015-04-21T03:22:00Z</dcterms:created>
  <dcterms:modified xsi:type="dcterms:W3CDTF">2015-04-21T03:23:00Z</dcterms:modified>
</cp:coreProperties>
</file>