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91F" w:rsidRPr="00B1791F" w:rsidRDefault="00B1791F" w:rsidP="00B1791F">
      <w:pPr>
        <w:widowControl/>
        <w:rPr>
          <w:rFonts w:ascii="新細明體" w:eastAsia="新細明體" w:hAnsi="新細明體" w:cs="新細明體"/>
          <w:kern w:val="0"/>
          <w:szCs w:val="24"/>
        </w:rPr>
      </w:pPr>
      <w:r w:rsidRPr="00B1791F">
        <w:rPr>
          <w:rFonts w:ascii="Times New Roman" w:eastAsia="新細明體" w:hAnsi="Times New Roman" w:cs="Times New Roman"/>
          <w:color w:val="000000"/>
          <w:spacing w:val="10"/>
          <w:kern w:val="0"/>
          <w:sz w:val="19"/>
          <w:szCs w:val="19"/>
          <w:shd w:val="clear" w:color="auto" w:fill="FFFCDF"/>
        </w:rPr>
        <w:t>法務部　書函</w:t>
      </w:r>
    </w:p>
    <w:p w:rsidR="00B1791F" w:rsidRPr="00B1791F" w:rsidRDefault="00B1791F" w:rsidP="00B1791F">
      <w:pPr>
        <w:widowControl/>
        <w:spacing w:line="269" w:lineRule="atLeast"/>
        <w:rPr>
          <w:rFonts w:ascii="新細明體" w:eastAsia="新細明體" w:hAnsi="新細明體" w:cs="新細明體"/>
          <w:color w:val="333333"/>
          <w:spacing w:val="10"/>
          <w:kern w:val="0"/>
          <w:sz w:val="19"/>
          <w:szCs w:val="19"/>
        </w:rPr>
      </w:pPr>
      <w:r w:rsidRPr="00B1791F">
        <w:rPr>
          <w:rFonts w:ascii="新細明體" w:eastAsia="新細明體" w:hAnsi="新細明體" w:cs="新細明體" w:hint="eastAsia"/>
          <w:color w:val="333333"/>
          <w:spacing w:val="10"/>
          <w:kern w:val="0"/>
          <w:sz w:val="19"/>
          <w:szCs w:val="19"/>
        </w:rPr>
        <w:t>發文日期：中華民國97年10月16日</w:t>
      </w:r>
      <w:r w:rsidRPr="00B1791F">
        <w:rPr>
          <w:rFonts w:ascii="新細明體" w:eastAsia="新細明體" w:hAnsi="新細明體" w:cs="新細明體" w:hint="eastAsia"/>
          <w:color w:val="333333"/>
          <w:spacing w:val="10"/>
          <w:kern w:val="0"/>
          <w:sz w:val="19"/>
          <w:szCs w:val="19"/>
        </w:rPr>
        <w:br/>
        <w:t>發文字號：</w:t>
      </w:r>
      <w:proofErr w:type="gramStart"/>
      <w:r w:rsidRPr="00B1791F">
        <w:rPr>
          <w:rFonts w:ascii="新細明體" w:eastAsia="新細明體" w:hAnsi="新細明體" w:cs="新細明體" w:hint="eastAsia"/>
          <w:color w:val="333333"/>
          <w:spacing w:val="10"/>
          <w:kern w:val="0"/>
          <w:sz w:val="19"/>
          <w:szCs w:val="19"/>
        </w:rPr>
        <w:t>法政決字第0971115118號</w:t>
      </w:r>
      <w:proofErr w:type="gramEnd"/>
      <w:r w:rsidRPr="00B1791F">
        <w:rPr>
          <w:rFonts w:ascii="新細明體" w:eastAsia="新細明體" w:hAnsi="新細明體" w:cs="新細明體" w:hint="eastAsia"/>
          <w:color w:val="333333"/>
          <w:spacing w:val="10"/>
          <w:kern w:val="0"/>
          <w:sz w:val="19"/>
          <w:szCs w:val="19"/>
        </w:rPr>
        <w:br/>
      </w:r>
      <w:proofErr w:type="gramStart"/>
      <w:r w:rsidRPr="00B1791F">
        <w:rPr>
          <w:rFonts w:ascii="新細明體" w:eastAsia="新細明體" w:hAnsi="新細明體" w:cs="新細明體" w:hint="eastAsia"/>
          <w:color w:val="333333"/>
          <w:spacing w:val="10"/>
          <w:kern w:val="0"/>
          <w:sz w:val="19"/>
          <w:szCs w:val="19"/>
        </w:rPr>
        <w:t>速別</w:t>
      </w:r>
      <w:proofErr w:type="gramEnd"/>
      <w:r w:rsidRPr="00B1791F">
        <w:rPr>
          <w:rFonts w:ascii="新細明體" w:eastAsia="新細明體" w:hAnsi="新細明體" w:cs="新細明體" w:hint="eastAsia"/>
          <w:color w:val="333333"/>
          <w:spacing w:val="10"/>
          <w:kern w:val="0"/>
          <w:sz w:val="19"/>
          <w:szCs w:val="19"/>
        </w:rPr>
        <w:t>：普通件</w:t>
      </w:r>
      <w:r w:rsidRPr="00B1791F">
        <w:rPr>
          <w:rFonts w:ascii="新細明體" w:eastAsia="新細明體" w:hAnsi="新細明體" w:cs="新細明體" w:hint="eastAsia"/>
          <w:color w:val="333333"/>
          <w:spacing w:val="10"/>
          <w:kern w:val="0"/>
          <w:sz w:val="19"/>
          <w:szCs w:val="19"/>
        </w:rPr>
        <w:br/>
        <w:t>密等及解密條件或保密期限：普通</w:t>
      </w:r>
      <w:r w:rsidRPr="00B1791F">
        <w:rPr>
          <w:rFonts w:ascii="新細明體" w:eastAsia="新細明體" w:hAnsi="新細明體" w:cs="新細明體" w:hint="eastAsia"/>
          <w:color w:val="333333"/>
          <w:spacing w:val="10"/>
          <w:kern w:val="0"/>
          <w:sz w:val="19"/>
          <w:szCs w:val="19"/>
        </w:rPr>
        <w:br/>
        <w:t>附件：如說明四</w:t>
      </w:r>
    </w:p>
    <w:p w:rsidR="00B1791F" w:rsidRPr="00B1791F" w:rsidRDefault="00B1791F" w:rsidP="00B1791F">
      <w:pPr>
        <w:widowControl/>
        <w:spacing w:line="269" w:lineRule="atLeast"/>
        <w:rPr>
          <w:rFonts w:ascii="新細明體" w:eastAsia="新細明體" w:hAnsi="新細明體" w:cs="新細明體" w:hint="eastAsia"/>
          <w:color w:val="333333"/>
          <w:spacing w:val="10"/>
          <w:kern w:val="0"/>
          <w:sz w:val="19"/>
          <w:szCs w:val="19"/>
        </w:rPr>
      </w:pPr>
      <w:r w:rsidRPr="00B1791F">
        <w:rPr>
          <w:rFonts w:ascii="新細明體" w:eastAsia="新細明體" w:hAnsi="新細明體" w:cs="新細明體" w:hint="eastAsia"/>
          <w:color w:val="333333"/>
          <w:spacing w:val="10"/>
          <w:kern w:val="0"/>
          <w:sz w:val="19"/>
          <w:szCs w:val="19"/>
        </w:rPr>
        <w:t>主旨：有關公職人員以融資融券方式買賣有價證券，其性質及查詢方式之疑義，復如說明，請查照。</w:t>
      </w:r>
      <w:r w:rsidRPr="00B1791F">
        <w:rPr>
          <w:rFonts w:ascii="新細明體" w:eastAsia="新細明體" w:hAnsi="新細明體" w:cs="新細明體" w:hint="eastAsia"/>
          <w:color w:val="333333"/>
          <w:spacing w:val="10"/>
          <w:kern w:val="0"/>
          <w:sz w:val="19"/>
          <w:szCs w:val="19"/>
        </w:rPr>
        <w:br/>
        <w:t xml:space="preserve">說明：　</w:t>
      </w:r>
      <w:r w:rsidRPr="00B1791F">
        <w:rPr>
          <w:rFonts w:ascii="新細明體" w:eastAsia="新細明體" w:hAnsi="新細明體" w:cs="新細明體" w:hint="eastAsia"/>
          <w:color w:val="333333"/>
          <w:spacing w:val="10"/>
          <w:kern w:val="0"/>
          <w:sz w:val="19"/>
          <w:szCs w:val="19"/>
        </w:rPr>
        <w:br/>
        <w:t>一、復貴處97年7月15日北市政三字第09730946800號函。</w:t>
      </w:r>
      <w:r w:rsidRPr="00B1791F">
        <w:rPr>
          <w:rFonts w:ascii="新細明體" w:eastAsia="新細明體" w:hAnsi="新細明體" w:cs="新細明體" w:hint="eastAsia"/>
          <w:color w:val="333333"/>
          <w:spacing w:val="10"/>
          <w:kern w:val="0"/>
          <w:sz w:val="19"/>
          <w:szCs w:val="19"/>
        </w:rPr>
        <w:br/>
        <w:t>二、按申報人以融資融券方式買進有價證券，因其分別具有價證券、債權、債務等性質，應予申報，申報方式如下：</w:t>
      </w:r>
      <w:r w:rsidRPr="00B1791F">
        <w:rPr>
          <w:rFonts w:ascii="新細明體" w:eastAsia="新細明體" w:hAnsi="新細明體" w:cs="新細明體" w:hint="eastAsia"/>
          <w:color w:val="333333"/>
          <w:spacing w:val="10"/>
          <w:kern w:val="0"/>
          <w:sz w:val="19"/>
          <w:szCs w:val="19"/>
        </w:rPr>
        <w:br/>
        <w:t>(</w:t>
      </w:r>
      <w:proofErr w:type="gramStart"/>
      <w:r w:rsidRPr="00B1791F">
        <w:rPr>
          <w:rFonts w:ascii="新細明體" w:eastAsia="新細明體" w:hAnsi="新細明體" w:cs="新細明體" w:hint="eastAsia"/>
          <w:color w:val="333333"/>
          <w:spacing w:val="10"/>
          <w:kern w:val="0"/>
          <w:sz w:val="19"/>
          <w:szCs w:val="19"/>
        </w:rPr>
        <w:t>一</w:t>
      </w:r>
      <w:proofErr w:type="gramEnd"/>
      <w:r w:rsidRPr="00B1791F">
        <w:rPr>
          <w:rFonts w:ascii="新細明體" w:eastAsia="新細明體" w:hAnsi="新細明體" w:cs="新細明體" w:hint="eastAsia"/>
          <w:color w:val="333333"/>
          <w:spacing w:val="10"/>
          <w:kern w:val="0"/>
          <w:sz w:val="19"/>
          <w:szCs w:val="19"/>
        </w:rPr>
        <w:t>)申報人以融資方式買進有價證券者，該有價證券應申報於有價證券欄，融資金額則申報於債務欄。</w:t>
      </w:r>
      <w:r w:rsidRPr="00B1791F">
        <w:rPr>
          <w:rFonts w:ascii="新細明體" w:eastAsia="新細明體" w:hAnsi="新細明體" w:cs="新細明體" w:hint="eastAsia"/>
          <w:color w:val="333333"/>
          <w:spacing w:val="10"/>
          <w:kern w:val="0"/>
          <w:sz w:val="19"/>
          <w:szCs w:val="19"/>
        </w:rPr>
        <w:br/>
        <w:t>(二)申報人以融券方式賣出有價證券者，因該有價證券非本法所定之債務，申報於備註欄即可。</w:t>
      </w:r>
      <w:proofErr w:type="gramStart"/>
      <w:r w:rsidRPr="00B1791F">
        <w:rPr>
          <w:rFonts w:ascii="新細明體" w:eastAsia="新細明體" w:hAnsi="新細明體" w:cs="新細明體" w:hint="eastAsia"/>
          <w:color w:val="333333"/>
          <w:spacing w:val="10"/>
          <w:kern w:val="0"/>
          <w:sz w:val="19"/>
          <w:szCs w:val="19"/>
        </w:rPr>
        <w:t>惟</w:t>
      </w:r>
      <w:proofErr w:type="gramEnd"/>
      <w:r w:rsidRPr="00B1791F">
        <w:rPr>
          <w:rFonts w:ascii="新細明體" w:eastAsia="新細明體" w:hAnsi="新細明體" w:cs="新細明體" w:hint="eastAsia"/>
          <w:color w:val="333333"/>
          <w:spacing w:val="10"/>
          <w:kern w:val="0"/>
          <w:sz w:val="19"/>
          <w:szCs w:val="19"/>
        </w:rPr>
        <w:t>融券保證金及融券賣出價款扣減證券交易稅、融券手續費及證券商手續費之餘額，屬申報人對授信機構之債權，仍應申報於債權欄。</w:t>
      </w:r>
      <w:r w:rsidRPr="00B1791F">
        <w:rPr>
          <w:rFonts w:ascii="新細明體" w:eastAsia="新細明體" w:hAnsi="新細明體" w:cs="新細明體" w:hint="eastAsia"/>
          <w:color w:val="333333"/>
          <w:spacing w:val="10"/>
          <w:kern w:val="0"/>
          <w:sz w:val="19"/>
          <w:szCs w:val="19"/>
        </w:rPr>
        <w:br/>
        <w:t>三、就融資融券資料之查詢方式，說明如下：</w:t>
      </w:r>
      <w:r w:rsidRPr="00B1791F">
        <w:rPr>
          <w:rFonts w:ascii="新細明體" w:eastAsia="新細明體" w:hAnsi="新細明體" w:cs="新細明體" w:hint="eastAsia"/>
          <w:color w:val="333333"/>
          <w:spacing w:val="10"/>
          <w:kern w:val="0"/>
          <w:sz w:val="19"/>
          <w:szCs w:val="19"/>
        </w:rPr>
        <w:br/>
        <w:t>(</w:t>
      </w:r>
      <w:proofErr w:type="gramStart"/>
      <w:r w:rsidRPr="00B1791F">
        <w:rPr>
          <w:rFonts w:ascii="新細明體" w:eastAsia="新細明體" w:hAnsi="新細明體" w:cs="新細明體" w:hint="eastAsia"/>
          <w:color w:val="333333"/>
          <w:spacing w:val="10"/>
          <w:kern w:val="0"/>
          <w:sz w:val="19"/>
          <w:szCs w:val="19"/>
        </w:rPr>
        <w:t>一</w:t>
      </w:r>
      <w:proofErr w:type="gramEnd"/>
      <w:r w:rsidRPr="00B1791F">
        <w:rPr>
          <w:rFonts w:ascii="新細明體" w:eastAsia="新細明體" w:hAnsi="新細明體" w:cs="新細明體" w:hint="eastAsia"/>
          <w:color w:val="333333"/>
          <w:spacing w:val="10"/>
          <w:kern w:val="0"/>
          <w:sz w:val="19"/>
          <w:szCs w:val="19"/>
        </w:rPr>
        <w:t>)各政風機構依據公職人員財產申報法規定，向臺灣集中保管結算所股份有限公司函查公職人員財產資料時，敘明查詢資料包含融資融券，該公司即可依指定函</w:t>
      </w:r>
      <w:proofErr w:type="gramStart"/>
      <w:r w:rsidRPr="00B1791F">
        <w:rPr>
          <w:rFonts w:ascii="新細明體" w:eastAsia="新細明體" w:hAnsi="新細明體" w:cs="新細明體" w:hint="eastAsia"/>
          <w:color w:val="333333"/>
          <w:spacing w:val="10"/>
          <w:kern w:val="0"/>
          <w:sz w:val="19"/>
          <w:szCs w:val="19"/>
        </w:rPr>
        <w:t>詢</w:t>
      </w:r>
      <w:proofErr w:type="gramEnd"/>
      <w:r w:rsidRPr="00B1791F">
        <w:rPr>
          <w:rFonts w:ascii="新細明體" w:eastAsia="新細明體" w:hAnsi="新細明體" w:cs="新細明體" w:hint="eastAsia"/>
          <w:color w:val="333333"/>
          <w:spacing w:val="10"/>
          <w:kern w:val="0"/>
          <w:sz w:val="19"/>
          <w:szCs w:val="19"/>
        </w:rPr>
        <w:t>資料回復。</w:t>
      </w:r>
      <w:r w:rsidRPr="00B1791F">
        <w:rPr>
          <w:rFonts w:ascii="新細明體" w:eastAsia="新細明體" w:hAnsi="新細明體" w:cs="新細明體" w:hint="eastAsia"/>
          <w:color w:val="333333"/>
          <w:spacing w:val="10"/>
          <w:kern w:val="0"/>
          <w:sz w:val="19"/>
          <w:szCs w:val="19"/>
        </w:rPr>
        <w:br/>
        <w:t>(二)授信機構融資予申報人之金額或因融券擔保所產生之融券保證金及融券賣出價款經扣減證券交易稅、融券手續費及證券商手續費之餘額需分向各融資融券之授信機構查詢。</w:t>
      </w:r>
      <w:r w:rsidRPr="00B1791F">
        <w:rPr>
          <w:rFonts w:ascii="新細明體" w:eastAsia="新細明體" w:hAnsi="新細明體" w:cs="新細明體" w:hint="eastAsia"/>
          <w:color w:val="333333"/>
          <w:spacing w:val="10"/>
          <w:kern w:val="0"/>
          <w:sz w:val="19"/>
          <w:szCs w:val="19"/>
        </w:rPr>
        <w:br/>
        <w:t>四、檢附行政院金融監督管理委員會97年9月25日</w:t>
      </w:r>
      <w:proofErr w:type="gramStart"/>
      <w:r w:rsidRPr="00B1791F">
        <w:rPr>
          <w:rFonts w:ascii="新細明體" w:eastAsia="新細明體" w:hAnsi="新細明體" w:cs="新細明體" w:hint="eastAsia"/>
          <w:color w:val="333333"/>
          <w:spacing w:val="10"/>
          <w:kern w:val="0"/>
          <w:sz w:val="19"/>
          <w:szCs w:val="19"/>
        </w:rPr>
        <w:t>金管證</w:t>
      </w:r>
      <w:proofErr w:type="gramEnd"/>
      <w:r w:rsidRPr="00B1791F">
        <w:rPr>
          <w:rFonts w:ascii="新細明體" w:eastAsia="新細明體" w:hAnsi="新細明體" w:cs="新細明體" w:hint="eastAsia"/>
          <w:color w:val="333333"/>
          <w:spacing w:val="10"/>
          <w:kern w:val="0"/>
          <w:sz w:val="19"/>
          <w:szCs w:val="19"/>
        </w:rPr>
        <w:t>四字第0970045282號函。</w:t>
      </w:r>
    </w:p>
    <w:p w:rsidR="00B1791F" w:rsidRPr="00B1791F" w:rsidRDefault="00B1791F" w:rsidP="00B1791F">
      <w:pPr>
        <w:widowControl/>
        <w:spacing w:line="269" w:lineRule="atLeast"/>
        <w:rPr>
          <w:rFonts w:ascii="新細明體" w:eastAsia="新細明體" w:hAnsi="新細明體" w:cs="新細明體" w:hint="eastAsia"/>
          <w:color w:val="333333"/>
          <w:spacing w:val="10"/>
          <w:kern w:val="0"/>
          <w:sz w:val="19"/>
          <w:szCs w:val="19"/>
        </w:rPr>
      </w:pPr>
      <w:r w:rsidRPr="00B1791F">
        <w:rPr>
          <w:rFonts w:ascii="新細明體" w:eastAsia="新細明體" w:hAnsi="新細明體" w:cs="新細明體" w:hint="eastAsia"/>
          <w:color w:val="333333"/>
          <w:spacing w:val="10"/>
          <w:kern w:val="0"/>
          <w:sz w:val="19"/>
          <w:szCs w:val="19"/>
        </w:rPr>
        <w:t>正本：臺北市政府政風處</w:t>
      </w:r>
      <w:r w:rsidRPr="00B1791F">
        <w:rPr>
          <w:rFonts w:ascii="新細明體" w:eastAsia="新細明體" w:hAnsi="新細明體" w:cs="新細明體" w:hint="eastAsia"/>
          <w:color w:val="333333"/>
          <w:spacing w:val="10"/>
          <w:kern w:val="0"/>
          <w:sz w:val="19"/>
          <w:szCs w:val="19"/>
        </w:rPr>
        <w:br/>
        <w:t>副本：本部中部辦公室、總統府等主管機關及縣市政府政風機構、本部直屬各政風機構、本司檢察官室</w:t>
      </w:r>
    </w:p>
    <w:p w:rsidR="00D91FE1" w:rsidRPr="00B1791F" w:rsidRDefault="00B1791F">
      <w:bookmarkStart w:id="0" w:name="_GoBack"/>
      <w:bookmarkEnd w:id="0"/>
    </w:p>
    <w:sectPr w:rsidR="00D91FE1" w:rsidRPr="00B1791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1F"/>
    <w:rsid w:val="00094B56"/>
    <w:rsid w:val="0027166B"/>
    <w:rsid w:val="00B17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F37E6-BB71-4268-8873-8F34B4D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1791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2015-04-17T05:59:00Z</dcterms:created>
  <dcterms:modified xsi:type="dcterms:W3CDTF">2015-04-17T06:00:00Z</dcterms:modified>
</cp:coreProperties>
</file>