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3" w:rsidRDefault="00996393" w:rsidP="00996393">
      <w:pPr>
        <w:ind w:left="2" w:right="-29" w:firstLineChars="0" w:firstLine="0"/>
        <w:rPr>
          <w:rFonts w:ascii="Times New Roman" w:hAnsi="Times New Roman" w:cs="Times New Roman" w:hint="eastAsia"/>
          <w:color w:val="000000"/>
          <w:spacing w:val="8"/>
          <w:sz w:val="15"/>
          <w:szCs w:val="15"/>
          <w:shd w:val="clear" w:color="auto" w:fill="FFFCDF"/>
        </w:rPr>
      </w:pPr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一、按刑事訴訟法第二百三十一條之</w:t>
      </w:r>
      <w:proofErr w:type="gramStart"/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有關案件調查未完備發</w:t>
      </w:r>
      <w:proofErr w:type="gramStart"/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回補查者</w:t>
      </w:r>
      <w:proofErr w:type="gramEnd"/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，僅限於司法警察官或司法警察移送之案件而言，政風人員並非司法警察官或司法警察，並無該條之適用，檢察官使用「發回調查案件指揮書」尚有不宜。</w:t>
      </w:r>
    </w:p>
    <w:p w:rsidR="00C5799C" w:rsidRDefault="00996393" w:rsidP="00996393">
      <w:pPr>
        <w:ind w:left="2" w:right="-29" w:firstLineChars="0" w:firstLine="0"/>
      </w:pPr>
      <w:r>
        <w:rPr>
          <w:rFonts w:ascii="Times New Roman" w:hAnsi="Times New Roman" w:cs="Times New Roman"/>
          <w:color w:val="000000"/>
          <w:spacing w:val="8"/>
          <w:sz w:val="15"/>
          <w:szCs w:val="15"/>
          <w:shd w:val="clear" w:color="auto" w:fill="FFFCDF"/>
        </w:rPr>
        <w:t>二、惟若案件涉及機關人員貪瀆事宜，依政風機構人員設置條例第五條第三款之規定，仍請本於職權範圍內協助調查。</w:t>
      </w:r>
    </w:p>
    <w:sectPr w:rsidR="00C5799C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393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96393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2015-04-21T03:22:00Z</dcterms:created>
  <dcterms:modified xsi:type="dcterms:W3CDTF">2015-04-21T03:23:00Z</dcterms:modified>
</cp:coreProperties>
</file>