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DC43CB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受文者：如正副本行文單位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發文日期：中華民國九十二年九月二十二日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發文字號：法政字第０９２００３９４５１號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附件：銓敘部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九十二年九月十日部法一字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第０九二二二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七六八一二號函、行政院人事行政局九十二年九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月一日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局企字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第０９２００２６８８８號函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主旨：有關公職人員利益衝突迴避法第四條第三項「非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財產上利益」之適用範圍等疑義，復如說明，請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卓參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大院九十二年七月二十三日（九二）院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台申貳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字第０９２１８０７８４５號函。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二、按公職人員利益衝突迴避法（以下簡稱本法）第四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條第三項規定：「非財產上利益，指有利公職人員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或其關係人於政府機關、公立學校、公營事業機構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之任用、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遷、調動及其他人事措施。」。上開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規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定就「非財產上利益」之認定內涵，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採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列舉與概括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規定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併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行之方式，除列舉「任用、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遷、調動」等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人事措施外，因其他有利公職人員或其關係人之相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類人事措施難以一一列舉，為免疏漏，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爰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另以「其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他人事措施」作概括式規定。故舉凡有利公職人員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或其關係人之任用、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遷、調動等相類之人事行政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作為，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均屬該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條所稱之「其他人事措施」，實際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適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用宜依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具體個案斟酌認定之。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三、查政府機關、公立學校及公營事業機構中對技工、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工友及臨時人員等非依公務人員任用法任用之聘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用、約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之人事措施，亦屬相類「任用、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動」等人事權運用之範圍，且依本法之立法意旨及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迴避制度之設計目的，係為建立公職人員利益衝突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迴避之規範，避免公職人員因運用公權力而達成私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益之目的，以達到有效遏阻貪污腐化暨不當利益輸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送之目的，其規範之範疇，自宜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採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廣義之解釋。是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上開人員之聘僱仍應屬本法所稱「其他人事措施」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之範疇。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四、檢附銓敘部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九十二年九月十日部法一字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第０九二二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lastRenderedPageBreak/>
        <w:t xml:space="preserve">　　二七六八一二號函、行政院人事行政局九十二年九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月一日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局企字第０９２００２６８８８號函供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參。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正本：監察院秘書長、監察院公職人員財產申報處（均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含附件）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副本：考試院銓敘部、行政院人事行政局、總統府政風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處等各一級政風機構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含各縣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政府政風室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、本部中部辦公室、本部政風司（檢察官室、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第二科、第四科）（不含附件）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CB"/>
    <w:rsid w:val="00094B56"/>
    <w:rsid w:val="0027166B"/>
    <w:rsid w:val="00D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58BA3-547A-465B-BCB1-BB35D309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2015-04-17T08:37:00Z</dcterms:created>
  <dcterms:modified xsi:type="dcterms:W3CDTF">2015-04-17T08:37:00Z</dcterms:modified>
</cp:coreProperties>
</file>