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FE1" w:rsidRDefault="005C361B"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法務部函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受文者：如正副本</w:t>
      </w:r>
      <w:r>
        <w:rPr>
          <w:rStyle w:val="apple-converted-space"/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 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速別：普通件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密等及解密條件：普通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發文日期：中華民國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95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年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21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日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發文字號：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法政決字第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0950007174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附件：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主旨：關於地方機關首長就職後，於就職前該機關工程已得標廠商之負責人係新任首長胞兄，所涉公職人員利益衝突迴避法疑義，復如說明，請參照。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說明：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一、復貴會９５年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２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月１６日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工程企字第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09500057210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號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函。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二、按公職人員或其關係人，不得與公職人員服務之機關或受其監督之機關為買賣、租賃、承攬等交易行為，而所稱關係人係指公職人員之配偶或共同生活之家屬、二親等以內親屬、公職人員或其配偶信託財產之受託人或公職人員、前開配偶、親屬等擔任負責人、董事、監察人或經理人之營利事業，公職人員利益衝突迴避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(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以下簡稱本法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)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9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條、第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3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條分別定有明文。來文稱得標廠商之負責人係地方機關新就職首長胞兄，依前開說明，該廠商係新就職首長之關係人，惟該廠商得標時，該首長既未就職，彼時兩者尚無「公職人員」與「關係人」可言，自非本法第９條禁止交易之範疇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三、又本法之利益衝突係指公職人員執行職務時，得因其作為或不作為，直接或間接使本人或其關係人獲取利益；公職人員知有利益衝突者，應即自行迴避，本法第５條、</w:t>
      </w:r>
      <w:proofErr w:type="gramStart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第６條各定有</w:t>
      </w:r>
      <w:proofErr w:type="gramEnd"/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明文。前開得標或締結契約雖非本法所禁止，惟新任首長就職後就該項契約之履行（如驗收、付工程款等），得因執行首長職務，直接或間接使其關係人（即得標廠商）獲得財產上利益，依前揭規定，此部分新任首長應行迴避。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正本：行政院公共工程委員會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br/>
      </w:r>
      <w:r>
        <w:rPr>
          <w:rFonts w:ascii="Times New Roman" w:hAnsi="Times New Roman" w:cs="Times New Roman"/>
          <w:color w:val="000000"/>
          <w:spacing w:val="10"/>
          <w:sz w:val="19"/>
          <w:szCs w:val="19"/>
          <w:shd w:val="clear" w:color="auto" w:fill="FFFCDF"/>
        </w:rPr>
        <w:t>副本：本部政風司第四科、本部政風司檢察官室</w:t>
      </w:r>
      <w:bookmarkStart w:id="0" w:name="_GoBack"/>
      <w:bookmarkEnd w:id="0"/>
    </w:p>
    <w:sectPr w:rsidR="00D91FE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61B"/>
    <w:rsid w:val="00094B56"/>
    <w:rsid w:val="0027166B"/>
    <w:rsid w:val="005C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73DAA2-6986-4571-91D6-131EC1D3C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C3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2015-04-17T08:28:00Z</dcterms:created>
  <dcterms:modified xsi:type="dcterms:W3CDTF">2015-04-17T08:28:00Z</dcterms:modified>
</cp:coreProperties>
</file>