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3B2B42">
      <w:r>
        <w:rPr>
          <w:rFonts w:ascii="Times New Roman" w:hAnsi="Times New Roman" w:cs="Times New Roman"/>
          <w:color w:val="000000"/>
          <w:spacing w:val="10"/>
          <w:sz w:val="19"/>
          <w:szCs w:val="19"/>
          <w:shd w:val="clear" w:color="auto" w:fill="FFFCDF"/>
        </w:rPr>
        <w:t>法務部　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速別</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發文日期：中華民國</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11</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 xml:space="preserve"> 22 </w:t>
      </w:r>
      <w:r>
        <w:rPr>
          <w:rFonts w:ascii="Times New Roman" w:hAnsi="Times New Roman" w:cs="Times New Roman"/>
          <w:color w:val="000000"/>
          <w:spacing w:val="10"/>
          <w:sz w:val="19"/>
          <w:szCs w:val="19"/>
          <w:shd w:val="clear" w:color="auto" w:fill="FFFCDF"/>
        </w:rPr>
        <w:t>日</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發文字號：法政字第</w:t>
      </w:r>
      <w:r>
        <w:rPr>
          <w:rFonts w:ascii="Times New Roman" w:hAnsi="Times New Roman" w:cs="Times New Roman"/>
          <w:color w:val="000000"/>
          <w:spacing w:val="10"/>
          <w:sz w:val="19"/>
          <w:szCs w:val="19"/>
          <w:shd w:val="clear" w:color="auto" w:fill="FFFCDF"/>
        </w:rPr>
        <w:t>0940041101</w:t>
      </w:r>
      <w:r>
        <w:rPr>
          <w:rFonts w:ascii="Times New Roman" w:hAnsi="Times New Roman" w:cs="Times New Roman"/>
          <w:color w:val="000000"/>
          <w:spacing w:val="10"/>
          <w:sz w:val="19"/>
          <w:szCs w:val="19"/>
          <w:shd w:val="clear" w:color="auto" w:fill="FFFCDF"/>
        </w:rPr>
        <w:t>號</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款規定之公職人員（即政務官），若為代理者，應否辦理財產申報及是否為公職人員利益衝突迴避法之適用對象等疑義，復如說明，請</w:t>
      </w:r>
      <w:r>
        <w:rPr>
          <w:rFonts w:ascii="Times New Roman" w:hAnsi="Times New Roman" w:cs="Times New Roman"/>
          <w:color w:val="000000"/>
          <w:spacing w:val="10"/>
          <w:sz w:val="19"/>
          <w:szCs w:val="19"/>
          <w:shd w:val="clear" w:color="auto" w:fill="FFFCDF"/>
        </w:rPr>
        <w:t xml:space="preserve"> </w:t>
      </w:r>
      <w:proofErr w:type="gramStart"/>
      <w:r>
        <w:rPr>
          <w:rFonts w:ascii="Times New Roman" w:hAnsi="Times New Roman" w:cs="Times New Roman"/>
          <w:color w:val="000000"/>
          <w:spacing w:val="10"/>
          <w:sz w:val="19"/>
          <w:szCs w:val="19"/>
          <w:shd w:val="clear" w:color="auto" w:fill="FFFCDF"/>
        </w:rPr>
        <w:t>卓參</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一、復貴秘書長</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10</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19</w:t>
      </w:r>
      <w:r>
        <w:rPr>
          <w:rFonts w:ascii="Times New Roman" w:hAnsi="Times New Roman" w:cs="Times New Roman"/>
          <w:color w:val="000000"/>
          <w:spacing w:val="10"/>
          <w:sz w:val="19"/>
          <w:szCs w:val="19"/>
          <w:shd w:val="clear" w:color="auto" w:fill="FFFCDF"/>
        </w:rPr>
        <w:t>日（</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w:t>
      </w:r>
      <w:proofErr w:type="gramStart"/>
      <w:r>
        <w:rPr>
          <w:rFonts w:ascii="Times New Roman" w:hAnsi="Times New Roman" w:cs="Times New Roman"/>
          <w:color w:val="000000"/>
          <w:spacing w:val="10"/>
          <w:sz w:val="19"/>
          <w:szCs w:val="19"/>
          <w:shd w:val="clear" w:color="auto" w:fill="FFFCDF"/>
        </w:rPr>
        <w:t>秘台申壹字</w:t>
      </w:r>
      <w:proofErr w:type="gramEnd"/>
      <w:r>
        <w:rPr>
          <w:rFonts w:ascii="Times New Roman" w:hAnsi="Times New Roman" w:cs="Times New Roman"/>
          <w:color w:val="000000"/>
          <w:spacing w:val="10"/>
          <w:sz w:val="19"/>
          <w:szCs w:val="19"/>
          <w:shd w:val="clear" w:color="auto" w:fill="FFFCDF"/>
        </w:rPr>
        <w:t>第</w:t>
      </w:r>
      <w:r>
        <w:rPr>
          <w:rFonts w:ascii="Times New Roman" w:hAnsi="Times New Roman" w:cs="Times New Roman"/>
          <w:color w:val="000000"/>
          <w:spacing w:val="10"/>
          <w:sz w:val="19"/>
          <w:szCs w:val="19"/>
          <w:shd w:val="clear" w:color="auto" w:fill="FFFCDF"/>
        </w:rPr>
        <w:t>0941808712</w:t>
      </w:r>
      <w:r>
        <w:rPr>
          <w:rFonts w:ascii="Times New Roman" w:hAnsi="Times New Roman" w:cs="Times New Roman"/>
          <w:color w:val="000000"/>
          <w:spacing w:val="10"/>
          <w:sz w:val="19"/>
          <w:szCs w:val="19"/>
          <w:shd w:val="clear" w:color="auto" w:fill="FFFCDF"/>
        </w:rPr>
        <w:t>號函。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二、查本部前於</w:t>
      </w:r>
      <w:r>
        <w:rPr>
          <w:rFonts w:ascii="Times New Roman" w:hAnsi="Times New Roman" w:cs="Times New Roman"/>
          <w:color w:val="000000"/>
          <w:spacing w:val="10"/>
          <w:sz w:val="19"/>
          <w:szCs w:val="19"/>
          <w:shd w:val="clear" w:color="auto" w:fill="FFFCDF"/>
        </w:rPr>
        <w:t>91</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10</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14</w:t>
      </w:r>
      <w:r>
        <w:rPr>
          <w:rFonts w:ascii="Times New Roman" w:hAnsi="Times New Roman" w:cs="Times New Roman"/>
          <w:color w:val="000000"/>
          <w:spacing w:val="10"/>
          <w:sz w:val="19"/>
          <w:szCs w:val="19"/>
          <w:shd w:val="clear" w:color="auto" w:fill="FFFCDF"/>
        </w:rPr>
        <w:t>日以</w:t>
      </w:r>
      <w:proofErr w:type="gramStart"/>
      <w:r>
        <w:rPr>
          <w:rFonts w:ascii="Times New Roman" w:hAnsi="Times New Roman" w:cs="Times New Roman"/>
          <w:color w:val="000000"/>
          <w:spacing w:val="10"/>
          <w:sz w:val="19"/>
          <w:szCs w:val="19"/>
          <w:shd w:val="clear" w:color="auto" w:fill="FFFCDF"/>
        </w:rPr>
        <w:t>法政決字第</w:t>
      </w:r>
      <w:r>
        <w:rPr>
          <w:rFonts w:ascii="Times New Roman" w:hAnsi="Times New Roman" w:cs="Times New Roman"/>
          <w:color w:val="000000"/>
          <w:spacing w:val="10"/>
          <w:sz w:val="19"/>
          <w:szCs w:val="19"/>
          <w:shd w:val="clear" w:color="auto" w:fill="FFFCDF"/>
        </w:rPr>
        <w:t>0911115638</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shd w:val="clear" w:color="auto" w:fill="FFFCDF"/>
        </w:rPr>
        <w:t>函釋：「現行各機關之首長或主管人員，常有其職務係代理之情形，雖所代理之職務係依機關組織法規所置，且代理人員領有主管職務加給，若當年度代理該職務之期間未逾</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個月者，依公職人員財產申報法之規範目的，應毋庸申報。惟如當年度代理該職務之</w:t>
      </w:r>
      <w:proofErr w:type="gramStart"/>
      <w:r>
        <w:rPr>
          <w:rFonts w:ascii="Times New Roman" w:hAnsi="Times New Roman" w:cs="Times New Roman"/>
          <w:color w:val="000000"/>
          <w:spacing w:val="10"/>
          <w:sz w:val="19"/>
          <w:szCs w:val="19"/>
          <w:shd w:val="clear" w:color="auto" w:fill="FFFCDF"/>
        </w:rPr>
        <w:t>期間逾</w:t>
      </w:r>
      <w:proofErr w:type="gramEnd"/>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個月，則應於當年度之定期申報時，依法辦理財產申報。」係著眼於公職人員雖為代理，但以其代理職務之職權性質，與正式之職掌者並無二致，</w:t>
      </w:r>
      <w:proofErr w:type="gramStart"/>
      <w:r>
        <w:rPr>
          <w:rFonts w:ascii="Times New Roman" w:hAnsi="Times New Roman" w:cs="Times New Roman"/>
          <w:color w:val="000000"/>
          <w:spacing w:val="10"/>
          <w:sz w:val="19"/>
          <w:szCs w:val="19"/>
          <w:shd w:val="clear" w:color="auto" w:fill="FFFCDF"/>
        </w:rPr>
        <w:t>職司該職務</w:t>
      </w:r>
      <w:proofErr w:type="gramEnd"/>
      <w:r>
        <w:rPr>
          <w:rFonts w:ascii="Times New Roman" w:hAnsi="Times New Roman" w:cs="Times New Roman"/>
          <w:color w:val="000000"/>
          <w:spacing w:val="10"/>
          <w:sz w:val="19"/>
          <w:szCs w:val="19"/>
          <w:shd w:val="clear" w:color="auto" w:fill="FFFCDF"/>
        </w:rPr>
        <w:t>者既須申報財產，代理超過一定期間者，依本法之規範目的，實無免除該職務者申報財產之理由；而本法第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條規定就到職申報期間</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個月，故</w:t>
      </w:r>
      <w:proofErr w:type="gramStart"/>
      <w:r>
        <w:rPr>
          <w:rFonts w:ascii="Times New Roman" w:hAnsi="Times New Roman" w:cs="Times New Roman"/>
          <w:color w:val="000000"/>
          <w:spacing w:val="10"/>
          <w:sz w:val="19"/>
          <w:szCs w:val="19"/>
          <w:shd w:val="clear" w:color="auto" w:fill="FFFCDF"/>
        </w:rPr>
        <w:t>乃釋示如</w:t>
      </w:r>
      <w:proofErr w:type="gramEnd"/>
      <w:r>
        <w:rPr>
          <w:rFonts w:ascii="Times New Roman" w:hAnsi="Times New Roman" w:cs="Times New Roman"/>
          <w:color w:val="000000"/>
          <w:spacing w:val="10"/>
          <w:sz w:val="19"/>
          <w:szCs w:val="19"/>
          <w:shd w:val="clear" w:color="auto" w:fill="FFFCDF"/>
        </w:rPr>
        <w:t>當年度代理該職務之</w:t>
      </w:r>
      <w:proofErr w:type="gramStart"/>
      <w:r>
        <w:rPr>
          <w:rFonts w:ascii="Times New Roman" w:hAnsi="Times New Roman" w:cs="Times New Roman"/>
          <w:color w:val="000000"/>
          <w:spacing w:val="10"/>
          <w:sz w:val="19"/>
          <w:szCs w:val="19"/>
          <w:shd w:val="clear" w:color="auto" w:fill="FFFCDF"/>
        </w:rPr>
        <w:t>期間逾</w:t>
      </w:r>
      <w:proofErr w:type="gramEnd"/>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個月，則應於當年度之定期申報時，依法辦理財產申報，</w:t>
      </w:r>
      <w:proofErr w:type="gramStart"/>
      <w:r>
        <w:rPr>
          <w:rFonts w:ascii="Times New Roman" w:hAnsi="Times New Roman" w:cs="Times New Roman"/>
          <w:color w:val="000000"/>
          <w:spacing w:val="10"/>
          <w:sz w:val="19"/>
          <w:szCs w:val="19"/>
          <w:shd w:val="clear" w:color="auto" w:fill="FFFCDF"/>
        </w:rPr>
        <w:t>合先敘</w:t>
      </w:r>
      <w:proofErr w:type="gramEnd"/>
      <w:r>
        <w:rPr>
          <w:rFonts w:ascii="Times New Roman" w:hAnsi="Times New Roman" w:cs="Times New Roman"/>
          <w:color w:val="000000"/>
          <w:spacing w:val="10"/>
          <w:sz w:val="19"/>
          <w:szCs w:val="19"/>
          <w:shd w:val="clear" w:color="auto" w:fill="FFFCDF"/>
        </w:rPr>
        <w:t>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三、所</w:t>
      </w:r>
      <w:proofErr w:type="gramStart"/>
      <w:r>
        <w:rPr>
          <w:rFonts w:ascii="Times New Roman" w:hAnsi="Times New Roman" w:cs="Times New Roman"/>
          <w:color w:val="000000"/>
          <w:spacing w:val="10"/>
          <w:sz w:val="19"/>
          <w:szCs w:val="19"/>
          <w:shd w:val="clear" w:color="auto" w:fill="FFFCDF"/>
        </w:rPr>
        <w:t>詢</w:t>
      </w:r>
      <w:proofErr w:type="gramEnd"/>
      <w:r>
        <w:rPr>
          <w:rFonts w:ascii="Times New Roman" w:hAnsi="Times New Roman" w:cs="Times New Roman"/>
          <w:color w:val="000000"/>
          <w:spacing w:val="10"/>
          <w:sz w:val="19"/>
          <w:szCs w:val="19"/>
          <w:shd w:val="clear" w:color="auto" w:fill="FFFCDF"/>
        </w:rPr>
        <w:t>政務官如有代理情事者，是否滿</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個月而決定應否申報財產一節，</w:t>
      </w:r>
      <w:proofErr w:type="gramStart"/>
      <w:r>
        <w:rPr>
          <w:rFonts w:ascii="Times New Roman" w:hAnsi="Times New Roman" w:cs="Times New Roman"/>
          <w:color w:val="000000"/>
          <w:spacing w:val="10"/>
          <w:sz w:val="19"/>
          <w:szCs w:val="19"/>
          <w:shd w:val="clear" w:color="auto" w:fill="FFFCDF"/>
        </w:rPr>
        <w:t>揆</w:t>
      </w:r>
      <w:proofErr w:type="gramEnd"/>
      <w:r>
        <w:rPr>
          <w:rFonts w:ascii="Times New Roman" w:hAnsi="Times New Roman" w:cs="Times New Roman"/>
          <w:color w:val="000000"/>
          <w:spacing w:val="10"/>
          <w:sz w:val="19"/>
          <w:szCs w:val="19"/>
          <w:shd w:val="clear" w:color="auto" w:fill="FFFCDF"/>
        </w:rPr>
        <w:t>諸前揭說明，認宜辦理財產申報。以法條之目的性解釋論之，上</w:t>
      </w:r>
      <w:proofErr w:type="gramStart"/>
      <w:r>
        <w:rPr>
          <w:rFonts w:ascii="Times New Roman" w:hAnsi="Times New Roman" w:cs="Times New Roman"/>
          <w:color w:val="000000"/>
          <w:spacing w:val="10"/>
          <w:sz w:val="19"/>
          <w:szCs w:val="19"/>
          <w:shd w:val="clear" w:color="auto" w:fill="FFFCDF"/>
        </w:rPr>
        <w:t>開函釋應</w:t>
      </w:r>
      <w:proofErr w:type="gramEnd"/>
      <w:r>
        <w:rPr>
          <w:rFonts w:ascii="Times New Roman" w:hAnsi="Times New Roman" w:cs="Times New Roman"/>
          <w:color w:val="000000"/>
          <w:spacing w:val="10"/>
          <w:sz w:val="19"/>
          <w:szCs w:val="19"/>
          <w:shd w:val="clear" w:color="auto" w:fill="FFFCDF"/>
        </w:rPr>
        <w:t>無逾越母法之虞。</w:t>
      </w:r>
      <w:proofErr w:type="gramStart"/>
      <w:r>
        <w:rPr>
          <w:rFonts w:ascii="Times New Roman" w:hAnsi="Times New Roman" w:cs="Times New Roman"/>
          <w:color w:val="000000"/>
          <w:spacing w:val="10"/>
          <w:sz w:val="19"/>
          <w:szCs w:val="19"/>
          <w:shd w:val="clear" w:color="auto" w:fill="FFFCDF"/>
        </w:rPr>
        <w:t>惟</w:t>
      </w:r>
      <w:proofErr w:type="gramEnd"/>
      <w:r>
        <w:rPr>
          <w:rFonts w:ascii="Times New Roman" w:hAnsi="Times New Roman" w:cs="Times New Roman"/>
          <w:color w:val="000000"/>
          <w:spacing w:val="10"/>
          <w:sz w:val="19"/>
          <w:szCs w:val="19"/>
          <w:shd w:val="clear" w:color="auto" w:fill="FFFCDF"/>
        </w:rPr>
        <w:t>考量法規之明確性，本部將</w:t>
      </w:r>
      <w:proofErr w:type="gramStart"/>
      <w:r>
        <w:rPr>
          <w:rFonts w:ascii="Times New Roman" w:hAnsi="Times New Roman" w:cs="Times New Roman"/>
          <w:color w:val="000000"/>
          <w:spacing w:val="10"/>
          <w:sz w:val="19"/>
          <w:szCs w:val="19"/>
          <w:shd w:val="clear" w:color="auto" w:fill="FFFCDF"/>
        </w:rPr>
        <w:t>研</w:t>
      </w:r>
      <w:proofErr w:type="gramEnd"/>
      <w:r>
        <w:rPr>
          <w:rFonts w:ascii="Times New Roman" w:hAnsi="Times New Roman" w:cs="Times New Roman"/>
          <w:color w:val="000000"/>
          <w:spacing w:val="10"/>
          <w:sz w:val="19"/>
          <w:szCs w:val="19"/>
          <w:shd w:val="clear" w:color="auto" w:fill="FFFCDF"/>
        </w:rPr>
        <w:t>擬就上開爭議一併列入修法參考。而將代理人員符合上開要件者列入應申報財產之對象，乃著眼於其代理職務之職權性質，與正式之職掌者並無二致；且公務員代理制度之「代理」係指職務代理，與一般民事法領域所稱之「代理」，未</w:t>
      </w:r>
      <w:proofErr w:type="gramStart"/>
      <w:r>
        <w:rPr>
          <w:rFonts w:ascii="Times New Roman" w:hAnsi="Times New Roman" w:cs="Times New Roman"/>
          <w:color w:val="000000"/>
          <w:spacing w:val="10"/>
          <w:sz w:val="19"/>
          <w:szCs w:val="19"/>
          <w:shd w:val="clear" w:color="auto" w:fill="FFFCDF"/>
        </w:rPr>
        <w:t>臻</w:t>
      </w:r>
      <w:proofErr w:type="gramEnd"/>
      <w:r>
        <w:rPr>
          <w:rFonts w:ascii="Times New Roman" w:hAnsi="Times New Roman" w:cs="Times New Roman"/>
          <w:color w:val="000000"/>
          <w:spacing w:val="10"/>
          <w:sz w:val="19"/>
          <w:szCs w:val="19"/>
          <w:shd w:val="clear" w:color="auto" w:fill="FFFCDF"/>
        </w:rPr>
        <w:t>相同，是</w:t>
      </w:r>
      <w:proofErr w:type="gramStart"/>
      <w:r>
        <w:rPr>
          <w:rFonts w:ascii="Times New Roman" w:hAnsi="Times New Roman" w:cs="Times New Roman"/>
          <w:color w:val="000000"/>
          <w:spacing w:val="10"/>
          <w:sz w:val="19"/>
          <w:szCs w:val="19"/>
          <w:shd w:val="clear" w:color="auto" w:fill="FFFCDF"/>
        </w:rPr>
        <w:t>以</w:t>
      </w:r>
      <w:proofErr w:type="gramEnd"/>
      <w:r>
        <w:rPr>
          <w:rFonts w:ascii="Times New Roman" w:hAnsi="Times New Roman" w:cs="Times New Roman"/>
          <w:color w:val="000000"/>
          <w:spacing w:val="10"/>
          <w:sz w:val="19"/>
          <w:szCs w:val="19"/>
          <w:shd w:val="clear" w:color="auto" w:fill="FFFCDF"/>
        </w:rPr>
        <w:t>，公職人員財產申報法第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款規定所稱之「政務官」，其職務代理人，於執行職務時，得因其作為或不作為，直接或間接使本人或其關係人獲取利益之利益衝突情事，參酌公職人員利益衝突迴避法之立法目的，雖該法第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條規定，該法所稱「公職人員」，指公職人員財產申報法第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所定之人員，其職務代理人，從目的解釋而言，應包括在內。故如有代理須財產申報職務之公職人員，於代理職務期間涉有公職人員利益衝突迴避法之情形時，依公職人員利益衝突迴避法之立法意旨及規範目的，仍應列入規範之對象予以處罰。</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42"/>
    <w:rsid w:val="00094B56"/>
    <w:rsid w:val="0027166B"/>
    <w:rsid w:val="003B2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6F03E-EB73-4182-A8CF-55FAE9CF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B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2015-04-17T08:25:00Z</dcterms:created>
  <dcterms:modified xsi:type="dcterms:W3CDTF">2015-04-17T08:26:00Z</dcterms:modified>
</cp:coreProperties>
</file>