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9FD" w:rsidRPr="00F419FD" w:rsidRDefault="00F419FD" w:rsidP="00F419F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419F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F419FD" w:rsidRPr="00F419FD" w:rsidRDefault="00F419FD" w:rsidP="00F419FD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發文日期：中華民國101年1月2日</w:t>
      </w: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法廉字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第1010500010號</w:t>
      </w: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附件：如文</w:t>
      </w:r>
    </w:p>
    <w:p w:rsidR="00F419FD" w:rsidRPr="00F419FD" w:rsidRDefault="00F419FD" w:rsidP="00F419FD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主旨：有關貴局函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詢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立法委員及監察委員或其關係人與貴局暨所屬辦事處、分處間之申請承租（購）、委託經營案件受公職人員利益衝突迴避法（下稱本法）第9條之限制疑義乙案，如說明，請查照。</w:t>
      </w: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一、復貴局100年10月5日台財產局管字第1004002488號函。</w:t>
      </w: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二、申租（購）、委託經營案件適用本法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之時點乙節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：按行政主管機關就行政法規所為之釋示，係闡明法規之原意，性質上非獨立之行政命令，又本法於民國89年7月12日公布施行，自89年7月14日發生效力，故前開案件應自本法生效之日起有其適用。</w:t>
      </w: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三、標租、標售、公開招標委託經營案件係以公開市場競標，由最高租金率、標價、權利金者得標，是否仍有本法第9條之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適用乙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節：</w:t>
      </w: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)按本法第9條禁止公職人員或其關係人，不得與公職人員服務之機關或受其監督之機關為買賣等交易行為，以避免因交易行為而發生利益衝突之虞，然若公職人員或其關係人全然無法與受公職人員監督之機關為買賣、租賃、承攬等交易行為，顯失之過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苛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。是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參酌本法立法目的與精神，若交易標的係由機關提供、價格具有普遍、一致性（即公定價格），無不當利益輸送疑慮時，則受本法規範之公職人員及其關係人，以公定價格向機關購買前揭產品，應無違反本法規定，本部96年8月13日法政字第0961112201號及同年11月27日法政字第0961117702號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函釋可參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。（附件1、2）</w:t>
      </w: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(二)參諸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上開函釋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意旨，復依國有非公用不動產出租管理辦法第8條、國有非公用不動產標售作業程序第4點第5款、國有非公用財產委託經營實施要點第12點第1項第1款及第13點規定，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均有規範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底價訂定之相關程序。是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，如底價之訂定，具有普遍性或一致性，不因人為關係而異，並以公開競標方式決定得標人及價格，交易對象並無特定性，無不當利益輸送之虞時，應可認未違反本法第9條之立法目的與精神而排除本法適用。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反之，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如底價之訂定及招標程序，仍有人為決定之空間，為貫徹本法促進廉能政治、端正政治風氣、有效遏阻貪污腐化暨不當利益輸送之宗旨，仍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應認屬本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法第9條所規範禁止之交易行為。</w:t>
      </w: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四、貴局暨所屬辦事處、分處辦理申租（購）、委託經營案件時，倘均涉及本法之適用，得否由申請人自行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切結無本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法第9條規定不得交易情事後執行之？如於處理後有切結內容虛偽不實者，貴局暨所屬辦事處、分處責任為何乙節：</w:t>
      </w: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)依「國有非公用不動產出租管理辦法」、「國有非公用不動產租賃作業程序」、「國有非公用不動產標售作業程序」、「國有非公用財產委託經營實施要點」等規定，有要求申租（購）及委託經營者，需繳交一定證明文件之相關規定，其中並有如所繳交文件內容不實，應負法律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責任或貴局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得撤銷契約之法律效果，又參酌行政院公共工程委員會為兼顧</w:t>
      </w: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lastRenderedPageBreak/>
        <w:t>本法規定及建立採購程序之過濾機制，於98年1月23日以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工程企字第09700533210號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函通令修正該會頒訂之投標廠商聲明書範本，貴局如認將申請人自行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切結無本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法第9條不得交易情事列為參與申租（購）、委託經營之必要條件，本部敬表尊重。</w:t>
      </w: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(二)若事後發現切結內容虛偽不實，因國有財產法第31條及公務人員服務法等相關法規，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均有相關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迴避之規定，違反之人員應負何種責任，建請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依貴管處理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。又如申請人有依本法不得交易之情形，卻為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不實切結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，並因而獲准申租（購）或委託經營國有非公用財產，該申請人應依本法第15條規定，處該交易行為金額一倍至三倍之罰鍰，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至貴局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相關承辦人員如有本法第6條應自行迴避卻未迴避、第7條假借職務上之權利、機會或方法，</w:t>
      </w:r>
      <w:proofErr w:type="gramStart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圖其本人</w:t>
      </w:r>
      <w:proofErr w:type="gramEnd"/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或關係人之利益等情事，亦得依本法第16條、第14條等規定處新台幣100萬元以上500萬元以下罰鍰。</w:t>
      </w: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五、已出售、出租、委託經營案件，是否因違反本法而無效？若仍有效，貴局得否解除或撤銷買賣契約及終止租賃、委託經營契約乙節：如來函所指案件，涉及貴局公職人員應自行迴避而未予迴避前所為之同意等相關行為，依本法第11條規定應屬無效。至國有非公用財產之買賣、租賃或委託經營契約之效力，應依民法、國有財產法等相關規定及貴局與申請人之契約而定。</w:t>
      </w:r>
    </w:p>
    <w:p w:rsidR="00F419FD" w:rsidRPr="00F419FD" w:rsidRDefault="00F419FD" w:rsidP="00F419FD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正本：財政部國有財產局</w:t>
      </w:r>
      <w:r w:rsidRPr="00F419F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副本：監察院秘書長、本部法制司、本部廉政署</w:t>
      </w:r>
    </w:p>
    <w:p w:rsidR="00D91FE1" w:rsidRPr="00F419FD" w:rsidRDefault="00F419FD">
      <w:bookmarkStart w:id="0" w:name="_GoBack"/>
      <w:bookmarkEnd w:id="0"/>
    </w:p>
    <w:sectPr w:rsidR="00D91FE1" w:rsidRPr="00F419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FD"/>
    <w:rsid w:val="00094B56"/>
    <w:rsid w:val="0027166B"/>
    <w:rsid w:val="00F4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862E1-6E05-4277-BC93-5E2C2308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2015-04-17T07:46:00Z</dcterms:created>
  <dcterms:modified xsi:type="dcterms:W3CDTF">2015-04-17T07:46:00Z</dcterms:modified>
</cp:coreProperties>
</file>