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93673E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發文日期：中華民國九十二年五月十五日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法政決字第０９２１１０８３２７號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主旨：有關公職人員財產申報就保險部分應如何申報之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義，復如說明二，請查照。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貴處九十二年五月八日北市政三字第０９２３０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８０６００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０號函。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二、按我國現行公職人員財產申報法之立法原意，係藉由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民眾查閱財產申報資料，了解公職人員之財產狀況，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以判斷公職人員有無利用職權牟取私利，進而增加對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政府施政及公職人員清廉、操守之信賴。故如何便利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及鼓勵民眾查閱財產申報資料，方係公職人員財產申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報法是否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能發揮其效能之關鍵。然為彌補民眾參與程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度不足所造成監督機制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不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彰之缺點，受理機關應主動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加強查核，乃屬輔助性質。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貴處就保險之債權債務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性質分析固有所見，惟以上開財產申報之立法意旨，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加以人壽保險、年金保險乃持續性契約，且保險金之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領回方式不一而足，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如要責令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公職人員細究其實際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繳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款與領回金額所衍生之債權債務關係，再據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以憑報財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產申報表之債權債務欄，實強人所難，且無必要，並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增加實際上查核計算之困難。然為免公職人員因不了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解如何申報保險之債權債務關係，而未申報或申報不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正確，致有保險事故發生或因保險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期限屆至而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領回保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險金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，突然增加大筆金額之情形，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徒啟人疑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竇，故本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部曾於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八十九年三月二十三日以法八十九政字第００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五九六０號函就此種具有「持續繳款，一次領回」、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分別具有債權債務性質之財產類型，釋示以「為便利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申報人申報，在公職人員財產申報表未修正前，宜利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用備註欄申報並敘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明持績性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契約之繳款及領回方式」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；故公職人員如在備註欄敘明其保險契約之繳款及領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回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方式即認已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符現行規定，衡平財產申報之正確性及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公職人員履行財產申報義務之便利性。至財產保險及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中間性保險（如醫療險），係以「填補損害」為目的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lastRenderedPageBreak/>
        <w:t xml:space="preserve">　　，不屬「持續繳款，一次領回」性質之財產，本毋庸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申報，來文似有誤解，請參考。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正本：臺北市政府政風處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副本：總統府政風處等各一級政風機構暨各縣（市）政府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政風室、本部中部辦公室、本部政風司檢察官室、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第二科、第四科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3E"/>
    <w:rsid w:val="00094B56"/>
    <w:rsid w:val="0027166B"/>
    <w:rsid w:val="009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AAB53-1A4E-431D-8FC4-F9F72611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2015-04-17T07:00:00Z</dcterms:created>
  <dcterms:modified xsi:type="dcterms:W3CDTF">2015-04-17T07:01:00Z</dcterms:modified>
</cp:coreProperties>
</file>