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6E7" w:rsidRPr="009246E7" w:rsidRDefault="009246E7" w:rsidP="009246E7">
      <w:pPr>
        <w:widowControl/>
        <w:rPr>
          <w:rFonts w:ascii="新細明體" w:eastAsia="新細明體" w:hAnsi="新細明體" w:cs="新細明體"/>
          <w:kern w:val="0"/>
          <w:szCs w:val="24"/>
        </w:rPr>
      </w:pPr>
      <w:r w:rsidRPr="009246E7">
        <w:rPr>
          <w:rFonts w:ascii="Times New Roman" w:eastAsia="新細明體" w:hAnsi="Times New Roman" w:cs="Times New Roman"/>
          <w:color w:val="000000"/>
          <w:spacing w:val="10"/>
          <w:kern w:val="0"/>
          <w:sz w:val="19"/>
          <w:szCs w:val="19"/>
          <w:shd w:val="clear" w:color="auto" w:fill="FFFCDF"/>
        </w:rPr>
        <w:t>法務部　書函</w:t>
      </w:r>
    </w:p>
    <w:p w:rsidR="009246E7" w:rsidRPr="009246E7" w:rsidRDefault="009246E7" w:rsidP="009246E7">
      <w:pPr>
        <w:widowControl/>
        <w:spacing w:line="269" w:lineRule="atLeast"/>
        <w:rPr>
          <w:rFonts w:ascii="新細明體" w:eastAsia="新細明體" w:hAnsi="新細明體" w:cs="新細明體"/>
          <w:color w:val="333333"/>
          <w:spacing w:val="10"/>
          <w:kern w:val="0"/>
          <w:sz w:val="19"/>
          <w:szCs w:val="19"/>
        </w:rPr>
      </w:pPr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發文日期：</w:t>
      </w:r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發文字號：</w:t>
      </w:r>
      <w:proofErr w:type="gramStart"/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法政決字第0981112737號</w:t>
      </w:r>
      <w:proofErr w:type="gramEnd"/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</w:r>
      <w:proofErr w:type="gramStart"/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速別</w:t>
      </w:r>
      <w:proofErr w:type="gramEnd"/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：普通件</w:t>
      </w:r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密等及解密條件或保密期限：普通</w:t>
      </w:r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附件：</w:t>
      </w:r>
    </w:p>
    <w:p w:rsidR="009246E7" w:rsidRPr="009246E7" w:rsidRDefault="009246E7" w:rsidP="009246E7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主旨：有關公職人員財產申報法第4條第2款適用疑義乙案，請 查照。</w:t>
      </w:r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說明：按本法第4條第1款所列以外依第2條第1項各款規定應申報財產人員之申報機關（構）為申報人所屬機關（構）之政風單位；無政風單位者，由其上級機關（構）之政風單位或其上級機關（構）指定之單位受理；無政風單位亦無上級機關（構）者，由申報人所屬機關（構）指定之單位受理，本法第4條第2款定有明文；而該條文修訂之立法意旨，即為解決實務上各級民意機關公職人員財產申報無受理單位之問題，</w:t>
      </w:r>
      <w:proofErr w:type="gramStart"/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方增列</w:t>
      </w:r>
      <w:proofErr w:type="gramEnd"/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上開規定，使</w:t>
      </w:r>
      <w:proofErr w:type="gramStart"/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臻</w:t>
      </w:r>
      <w:proofErr w:type="gramEnd"/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周延。目前實務運作上，各級民意機關即依前開規範，均指定人事室為受理財產申報單位，是若依來函建議由設有政風單位之相當等級機關受理並實質審查，無異使該等受理機關（構）成為各級民意機關之上級機關（構），顯與法制不符。至來函所為建議，可供日後</w:t>
      </w:r>
      <w:proofErr w:type="gramStart"/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研議修</w:t>
      </w:r>
      <w:proofErr w:type="gramEnd"/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法參考，</w:t>
      </w:r>
      <w:proofErr w:type="gramStart"/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附此敘明</w:t>
      </w:r>
      <w:proofErr w:type="gramEnd"/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。</w:t>
      </w:r>
    </w:p>
    <w:p w:rsidR="009246E7" w:rsidRPr="009246E7" w:rsidRDefault="009246E7" w:rsidP="009246E7">
      <w:pPr>
        <w:widowControl/>
        <w:spacing w:line="269" w:lineRule="atLeast"/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</w:pPr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t>正本：行政院人事行政局</w:t>
      </w:r>
      <w:r w:rsidRPr="009246E7">
        <w:rPr>
          <w:rFonts w:ascii="新細明體" w:eastAsia="新細明體" w:hAnsi="新細明體" w:cs="新細明體" w:hint="eastAsia"/>
          <w:color w:val="333333"/>
          <w:spacing w:val="10"/>
          <w:kern w:val="0"/>
          <w:sz w:val="19"/>
          <w:szCs w:val="19"/>
        </w:rPr>
        <w:br/>
        <w:t>副本：本部政風司第二科、本部政風司第四科、本部政風司檢察官室</w:t>
      </w:r>
    </w:p>
    <w:p w:rsidR="00D91FE1" w:rsidRPr="009246E7" w:rsidRDefault="009246E7">
      <w:bookmarkStart w:id="0" w:name="_GoBack"/>
      <w:bookmarkEnd w:id="0"/>
    </w:p>
    <w:sectPr w:rsidR="00D91FE1" w:rsidRPr="009246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6E7"/>
    <w:rsid w:val="00094B56"/>
    <w:rsid w:val="0027166B"/>
    <w:rsid w:val="0092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FC569A-2699-4BB8-968A-D824B79E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高昕頤</dc:creator>
  <cp:keywords/>
  <dc:description/>
  <cp:lastModifiedBy>高昕頤</cp:lastModifiedBy>
  <cp:revision>1</cp:revision>
  <dcterms:created xsi:type="dcterms:W3CDTF">2015-04-17T05:18:00Z</dcterms:created>
  <dcterms:modified xsi:type="dcterms:W3CDTF">2015-04-17T05:18:00Z</dcterms:modified>
</cp:coreProperties>
</file>