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8D" w:rsidRPr="00E1528D" w:rsidRDefault="00E1528D" w:rsidP="00E1528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1528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E1528D" w:rsidRPr="00E1528D" w:rsidRDefault="00E1528D" w:rsidP="00E1528D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發文日期：中華民國101年9月3日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第10100314180號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E1528D" w:rsidRPr="00E1528D" w:rsidRDefault="00E1528D" w:rsidP="00E1528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大院暨所屬法院職務列簡任第12職等以上法官職務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異動應如何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辦理財產申報之疑義，復如說明，請 查照。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101年8月24日處政一字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第1010024049號函。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二、具申報義務之公職人員職務如有異動，且受理申報機關(構)亦有變動時，應依公職人員財產申報法第3條第1項及同法施行細則第9條第1項規定，辦理就(到)職申報，此有本部98年3月4日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第0981102345號函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釋足參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此，因法官於本法修正前，無論其職務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所列職等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為何，受理申報機關(構)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均為其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所屬機關之政風機構，則其職務異動，致受理申報之政風機構亦有變動時，自應依據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意旨，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於就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(到)職三個月內申報財產，如同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申報年度已辦理就(到)職申報者，則可免為該年度之定期申報。</w:t>
      </w:r>
    </w:p>
    <w:p w:rsidR="00E1528D" w:rsidRPr="00E1528D" w:rsidRDefault="00E1528D" w:rsidP="00E1528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正本：司法院政風處</w:t>
      </w:r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E1528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E1528D" w:rsidRDefault="00E1528D">
      <w:bookmarkStart w:id="0" w:name="_GoBack"/>
      <w:bookmarkEnd w:id="0"/>
    </w:p>
    <w:sectPr w:rsidR="00D91FE1" w:rsidRPr="00E152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8D"/>
    <w:rsid w:val="00094B56"/>
    <w:rsid w:val="0027166B"/>
    <w:rsid w:val="00E1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8C443-9662-474A-8122-32F963F6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2015-04-17T03:49:00Z</dcterms:created>
  <dcterms:modified xsi:type="dcterms:W3CDTF">2015-04-17T03:49:00Z</dcterms:modified>
</cp:coreProperties>
</file>