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817" w:rsidRPr="00D91817" w:rsidRDefault="00D91817" w:rsidP="00D91817">
      <w:pPr>
        <w:widowControl/>
        <w:rPr>
          <w:rFonts w:ascii="新細明體" w:eastAsia="新細明體" w:hAnsi="新細明體" w:cs="新細明體"/>
          <w:kern w:val="0"/>
          <w:szCs w:val="24"/>
        </w:rPr>
      </w:pPr>
      <w:r w:rsidRPr="00D91817">
        <w:rPr>
          <w:rFonts w:ascii="Times New Roman" w:eastAsia="新細明體" w:hAnsi="Times New Roman" w:cs="Times New Roman"/>
          <w:color w:val="000000"/>
          <w:spacing w:val="10"/>
          <w:kern w:val="0"/>
          <w:sz w:val="19"/>
          <w:szCs w:val="19"/>
          <w:shd w:val="clear" w:color="auto" w:fill="FFFCDF"/>
        </w:rPr>
        <w:t>法務部　函</w:t>
      </w:r>
    </w:p>
    <w:p w:rsidR="00D91817" w:rsidRPr="00D91817" w:rsidRDefault="00D91817" w:rsidP="00D91817">
      <w:pPr>
        <w:widowControl/>
        <w:spacing w:line="269" w:lineRule="atLeast"/>
        <w:rPr>
          <w:rFonts w:ascii="新細明體" w:eastAsia="新細明體" w:hAnsi="新細明體" w:cs="新細明體"/>
          <w:color w:val="333333"/>
          <w:spacing w:val="10"/>
          <w:kern w:val="0"/>
          <w:sz w:val="19"/>
          <w:szCs w:val="19"/>
        </w:rPr>
      </w:pPr>
      <w:r w:rsidRPr="00D91817">
        <w:rPr>
          <w:rFonts w:ascii="新細明體" w:eastAsia="新細明體" w:hAnsi="新細明體" w:cs="新細明體" w:hint="eastAsia"/>
          <w:color w:val="333333"/>
          <w:spacing w:val="10"/>
          <w:kern w:val="0"/>
          <w:sz w:val="19"/>
          <w:szCs w:val="19"/>
        </w:rPr>
        <w:t>發文日期：中華民國102年10月2日</w:t>
      </w:r>
      <w:r w:rsidRPr="00D91817">
        <w:rPr>
          <w:rFonts w:ascii="新細明體" w:eastAsia="新細明體" w:hAnsi="新細明體" w:cs="新細明體" w:hint="eastAsia"/>
          <w:color w:val="333333"/>
          <w:spacing w:val="10"/>
          <w:kern w:val="0"/>
          <w:sz w:val="19"/>
          <w:szCs w:val="19"/>
        </w:rPr>
        <w:br/>
        <w:t>發文字號：</w:t>
      </w:r>
      <w:proofErr w:type="gramStart"/>
      <w:r w:rsidRPr="00D91817">
        <w:rPr>
          <w:rFonts w:ascii="新細明體" w:eastAsia="新細明體" w:hAnsi="新細明體" w:cs="新細明體" w:hint="eastAsia"/>
          <w:color w:val="333333"/>
          <w:spacing w:val="10"/>
          <w:kern w:val="0"/>
          <w:sz w:val="19"/>
          <w:szCs w:val="19"/>
        </w:rPr>
        <w:t>法授廉財字</w:t>
      </w:r>
      <w:proofErr w:type="gramEnd"/>
      <w:r w:rsidRPr="00D91817">
        <w:rPr>
          <w:rFonts w:ascii="新細明體" w:eastAsia="新細明體" w:hAnsi="新細明體" w:cs="新細明體" w:hint="eastAsia"/>
          <w:color w:val="333333"/>
          <w:spacing w:val="10"/>
          <w:kern w:val="0"/>
          <w:sz w:val="19"/>
          <w:szCs w:val="19"/>
        </w:rPr>
        <w:t>第10205026960號</w:t>
      </w:r>
      <w:r w:rsidRPr="00D91817">
        <w:rPr>
          <w:rFonts w:ascii="新細明體" w:eastAsia="新細明體" w:hAnsi="新細明體" w:cs="新細明體" w:hint="eastAsia"/>
          <w:color w:val="333333"/>
          <w:spacing w:val="10"/>
          <w:kern w:val="0"/>
          <w:sz w:val="19"/>
          <w:szCs w:val="19"/>
        </w:rPr>
        <w:br/>
      </w:r>
      <w:proofErr w:type="gramStart"/>
      <w:r w:rsidRPr="00D91817">
        <w:rPr>
          <w:rFonts w:ascii="新細明體" w:eastAsia="新細明體" w:hAnsi="新細明體" w:cs="新細明體" w:hint="eastAsia"/>
          <w:color w:val="333333"/>
          <w:spacing w:val="10"/>
          <w:kern w:val="0"/>
          <w:sz w:val="19"/>
          <w:szCs w:val="19"/>
        </w:rPr>
        <w:t>速別</w:t>
      </w:r>
      <w:proofErr w:type="gramEnd"/>
      <w:r w:rsidRPr="00D91817">
        <w:rPr>
          <w:rFonts w:ascii="新細明體" w:eastAsia="新細明體" w:hAnsi="新細明體" w:cs="新細明體" w:hint="eastAsia"/>
          <w:color w:val="333333"/>
          <w:spacing w:val="10"/>
          <w:kern w:val="0"/>
          <w:sz w:val="19"/>
          <w:szCs w:val="19"/>
        </w:rPr>
        <w:t>：普通件</w:t>
      </w:r>
      <w:r w:rsidRPr="00D91817">
        <w:rPr>
          <w:rFonts w:ascii="新細明體" w:eastAsia="新細明體" w:hAnsi="新細明體" w:cs="新細明體" w:hint="eastAsia"/>
          <w:color w:val="333333"/>
          <w:spacing w:val="10"/>
          <w:kern w:val="0"/>
          <w:sz w:val="19"/>
          <w:szCs w:val="19"/>
        </w:rPr>
        <w:br/>
        <w:t>密等及解密條件或保密期限：</w:t>
      </w:r>
      <w:r w:rsidRPr="00D91817">
        <w:rPr>
          <w:rFonts w:ascii="新細明體" w:eastAsia="新細明體" w:hAnsi="新細明體" w:cs="新細明體" w:hint="eastAsia"/>
          <w:color w:val="333333"/>
          <w:spacing w:val="10"/>
          <w:kern w:val="0"/>
          <w:sz w:val="19"/>
          <w:szCs w:val="19"/>
        </w:rPr>
        <w:br/>
        <w:t>附件：無</w:t>
      </w:r>
    </w:p>
    <w:p w:rsidR="00D91817" w:rsidRPr="00D91817" w:rsidRDefault="00D91817" w:rsidP="00D91817">
      <w:pPr>
        <w:widowControl/>
        <w:spacing w:line="269" w:lineRule="atLeast"/>
        <w:rPr>
          <w:rFonts w:ascii="新細明體" w:eastAsia="新細明體" w:hAnsi="新細明體" w:cs="新細明體" w:hint="eastAsia"/>
          <w:color w:val="333333"/>
          <w:spacing w:val="10"/>
          <w:kern w:val="0"/>
          <w:sz w:val="19"/>
          <w:szCs w:val="19"/>
        </w:rPr>
      </w:pPr>
      <w:r w:rsidRPr="00D91817">
        <w:rPr>
          <w:rFonts w:ascii="新細明體" w:eastAsia="新細明體" w:hAnsi="新細明體" w:cs="新細明體" w:hint="eastAsia"/>
          <w:color w:val="333333"/>
          <w:spacing w:val="10"/>
          <w:kern w:val="0"/>
          <w:sz w:val="19"/>
          <w:szCs w:val="19"/>
        </w:rPr>
        <w:t>主旨：有關 大院秘書長函</w:t>
      </w:r>
      <w:proofErr w:type="gramStart"/>
      <w:r w:rsidRPr="00D91817">
        <w:rPr>
          <w:rFonts w:ascii="新細明體" w:eastAsia="新細明體" w:hAnsi="新細明體" w:cs="新細明體" w:hint="eastAsia"/>
          <w:color w:val="333333"/>
          <w:spacing w:val="10"/>
          <w:kern w:val="0"/>
          <w:sz w:val="19"/>
          <w:szCs w:val="19"/>
        </w:rPr>
        <w:t>詢</w:t>
      </w:r>
      <w:proofErr w:type="gramEnd"/>
      <w:r w:rsidRPr="00D91817">
        <w:rPr>
          <w:rFonts w:ascii="新細明體" w:eastAsia="新細明體" w:hAnsi="新細明體" w:cs="新細明體" w:hint="eastAsia"/>
          <w:color w:val="333333"/>
          <w:spacing w:val="10"/>
          <w:kern w:val="0"/>
          <w:sz w:val="19"/>
          <w:szCs w:val="19"/>
        </w:rPr>
        <w:t>公職人員財產申報資料刊登公報及上網公告範圍內容與期限疑義一案，復如說明，請 查照。</w:t>
      </w:r>
      <w:r w:rsidRPr="00D91817">
        <w:rPr>
          <w:rFonts w:ascii="新細明體" w:eastAsia="新細明體" w:hAnsi="新細明體" w:cs="新細明體" w:hint="eastAsia"/>
          <w:color w:val="333333"/>
          <w:spacing w:val="10"/>
          <w:kern w:val="0"/>
          <w:sz w:val="19"/>
          <w:szCs w:val="19"/>
        </w:rPr>
        <w:br/>
        <w:t xml:space="preserve">說明：　</w:t>
      </w:r>
      <w:r w:rsidRPr="00D91817">
        <w:rPr>
          <w:rFonts w:ascii="新細明體" w:eastAsia="新細明體" w:hAnsi="新細明體" w:cs="新細明體" w:hint="eastAsia"/>
          <w:color w:val="333333"/>
          <w:spacing w:val="10"/>
          <w:kern w:val="0"/>
          <w:sz w:val="19"/>
          <w:szCs w:val="19"/>
        </w:rPr>
        <w:br/>
        <w:t>一、依 大院秘書長102年9月6日</w:t>
      </w:r>
      <w:proofErr w:type="gramStart"/>
      <w:r w:rsidRPr="00D91817">
        <w:rPr>
          <w:rFonts w:ascii="新細明體" w:eastAsia="新細明體" w:hAnsi="新細明體" w:cs="新細明體" w:hint="eastAsia"/>
          <w:color w:val="333333"/>
          <w:spacing w:val="10"/>
          <w:kern w:val="0"/>
          <w:sz w:val="19"/>
          <w:szCs w:val="19"/>
        </w:rPr>
        <w:t>秘台申字</w:t>
      </w:r>
      <w:proofErr w:type="gramEnd"/>
      <w:r w:rsidRPr="00D91817">
        <w:rPr>
          <w:rFonts w:ascii="新細明體" w:eastAsia="新細明體" w:hAnsi="新細明體" w:cs="新細明體" w:hint="eastAsia"/>
          <w:color w:val="333333"/>
          <w:spacing w:val="10"/>
          <w:kern w:val="0"/>
          <w:sz w:val="19"/>
          <w:szCs w:val="19"/>
        </w:rPr>
        <w:t>第1021832955號函辦理。</w:t>
      </w:r>
      <w:r w:rsidRPr="00D91817">
        <w:rPr>
          <w:rFonts w:ascii="新細明體" w:eastAsia="新細明體" w:hAnsi="新細明體" w:cs="新細明體" w:hint="eastAsia"/>
          <w:color w:val="333333"/>
          <w:spacing w:val="10"/>
          <w:kern w:val="0"/>
          <w:sz w:val="19"/>
          <w:szCs w:val="19"/>
        </w:rPr>
        <w:br/>
        <w:t>二、查公職人員財產申報法（下稱本法）第6條規定：「受理申報機關（構）於收受申報二個月內，應將申報資料審核，彙整列冊，供人查閱。總統、副總統及縣（市）級以上公職候選人之申報機關（構）應於收受申報十日內，予以審核彙整列冊，供人查閱。總統、副總統、行政、立法、司法、考試、監察各院院長、副院長、政務人員、立法委員、直轄市長、縣（市）長等人員之申報資料，除應依前項辦理外，應定期刊登政府公報並上網公告。申報資料之審核及查閱辦法，由行政院會同考試院、監察院定之。」同條第3項授權訂定之「公職人員財產申報資料審核及查閱辦法」（下稱查閱辦法）第12條第3項規定：「受理申報機關（構）於申請人申請查閱時，應遮蓋申報人及其配偶與未成年子女之國民身分證統一編號（中華民國居留證號）、通訊及戶籍地址、聯絡電話、門牌號碼或汽車牌照等資料。」</w:t>
      </w:r>
      <w:r w:rsidRPr="00D91817">
        <w:rPr>
          <w:rFonts w:ascii="新細明體" w:eastAsia="新細明體" w:hAnsi="新細明體" w:cs="新細明體" w:hint="eastAsia"/>
          <w:color w:val="333333"/>
          <w:spacing w:val="10"/>
          <w:kern w:val="0"/>
          <w:sz w:val="19"/>
          <w:szCs w:val="19"/>
        </w:rPr>
        <w:br/>
        <w:t>三、上開規定僅就民眾申請查閱申報資料時，受查閱人個人機敏資料應予遮蓋，至申報資料刊登政府公報及上網公告時，雖無明文規定，惟將申報資料刊登政府公報及上網公告，既使任何</w:t>
      </w:r>
      <w:proofErr w:type="gramStart"/>
      <w:r w:rsidRPr="00D91817">
        <w:rPr>
          <w:rFonts w:ascii="新細明體" w:eastAsia="新細明體" w:hAnsi="新細明體" w:cs="新細明體" w:hint="eastAsia"/>
          <w:color w:val="333333"/>
          <w:spacing w:val="10"/>
          <w:kern w:val="0"/>
          <w:sz w:val="19"/>
          <w:szCs w:val="19"/>
        </w:rPr>
        <w:t>人均得隨時</w:t>
      </w:r>
      <w:proofErr w:type="gramEnd"/>
      <w:r w:rsidRPr="00D91817">
        <w:rPr>
          <w:rFonts w:ascii="新細明體" w:eastAsia="新細明體" w:hAnsi="新細明體" w:cs="新細明體" w:hint="eastAsia"/>
          <w:color w:val="333333"/>
          <w:spacing w:val="10"/>
          <w:kern w:val="0"/>
          <w:sz w:val="19"/>
          <w:szCs w:val="19"/>
        </w:rPr>
        <w:t>查閱申報資料，</w:t>
      </w:r>
      <w:proofErr w:type="gramStart"/>
      <w:r w:rsidRPr="00D91817">
        <w:rPr>
          <w:rFonts w:ascii="新細明體" w:eastAsia="新細明體" w:hAnsi="新細明體" w:cs="新細明體" w:hint="eastAsia"/>
          <w:color w:val="333333"/>
          <w:spacing w:val="10"/>
          <w:kern w:val="0"/>
          <w:sz w:val="19"/>
          <w:szCs w:val="19"/>
        </w:rPr>
        <w:t>依舉輕明</w:t>
      </w:r>
      <w:proofErr w:type="gramEnd"/>
      <w:r w:rsidRPr="00D91817">
        <w:rPr>
          <w:rFonts w:ascii="新細明體" w:eastAsia="新細明體" w:hAnsi="新細明體" w:cs="新細明體" w:hint="eastAsia"/>
          <w:color w:val="333333"/>
          <w:spacing w:val="10"/>
          <w:kern w:val="0"/>
          <w:sz w:val="19"/>
          <w:szCs w:val="19"/>
        </w:rPr>
        <w:t>重法理，自應類推適用查閱辦法第12條第3項規定始允當。</w:t>
      </w:r>
      <w:r w:rsidRPr="00D91817">
        <w:rPr>
          <w:rFonts w:ascii="新細明體" w:eastAsia="新細明體" w:hAnsi="新細明體" w:cs="新細明體" w:hint="eastAsia"/>
          <w:color w:val="333333"/>
          <w:spacing w:val="10"/>
          <w:kern w:val="0"/>
          <w:sz w:val="19"/>
          <w:szCs w:val="19"/>
        </w:rPr>
        <w:br/>
        <w:t>四、另法律溯及既往之類型，學理上區分為「真正溯及既往」與「</w:t>
      </w:r>
      <w:proofErr w:type="gramStart"/>
      <w:r w:rsidRPr="00D91817">
        <w:rPr>
          <w:rFonts w:ascii="新細明體" w:eastAsia="新細明體" w:hAnsi="新細明體" w:cs="新細明體" w:hint="eastAsia"/>
          <w:color w:val="333333"/>
          <w:spacing w:val="10"/>
          <w:kern w:val="0"/>
          <w:sz w:val="19"/>
          <w:szCs w:val="19"/>
        </w:rPr>
        <w:t>不</w:t>
      </w:r>
      <w:proofErr w:type="gramEnd"/>
      <w:r w:rsidRPr="00D91817">
        <w:rPr>
          <w:rFonts w:ascii="新細明體" w:eastAsia="新細明體" w:hAnsi="新細明體" w:cs="新細明體" w:hint="eastAsia"/>
          <w:color w:val="333333"/>
          <w:spacing w:val="10"/>
          <w:kern w:val="0"/>
          <w:sz w:val="19"/>
          <w:szCs w:val="19"/>
        </w:rPr>
        <w:t>真正溯及既往」，其中「</w:t>
      </w:r>
      <w:proofErr w:type="gramStart"/>
      <w:r w:rsidRPr="00D91817">
        <w:rPr>
          <w:rFonts w:ascii="新細明體" w:eastAsia="新細明體" w:hAnsi="新細明體" w:cs="新細明體" w:hint="eastAsia"/>
          <w:color w:val="333333"/>
          <w:spacing w:val="10"/>
          <w:kern w:val="0"/>
          <w:sz w:val="19"/>
          <w:szCs w:val="19"/>
        </w:rPr>
        <w:t>不</w:t>
      </w:r>
      <w:proofErr w:type="gramEnd"/>
      <w:r w:rsidRPr="00D91817">
        <w:rPr>
          <w:rFonts w:ascii="新細明體" w:eastAsia="新細明體" w:hAnsi="新細明體" w:cs="新細明體" w:hint="eastAsia"/>
          <w:color w:val="333333"/>
          <w:spacing w:val="10"/>
          <w:kern w:val="0"/>
          <w:sz w:val="19"/>
          <w:szCs w:val="19"/>
        </w:rPr>
        <w:t>真正溯及既往」係指法令公布施行後，對前已開始迄未完結之事實，向將來發生效力，亦即新法將法律效果之發生，連結到其公布</w:t>
      </w:r>
      <w:proofErr w:type="gramStart"/>
      <w:r w:rsidRPr="00D91817">
        <w:rPr>
          <w:rFonts w:ascii="新細明體" w:eastAsia="新細明體" w:hAnsi="新細明體" w:cs="新細明體" w:hint="eastAsia"/>
          <w:color w:val="333333"/>
          <w:spacing w:val="10"/>
          <w:kern w:val="0"/>
          <w:sz w:val="19"/>
          <w:szCs w:val="19"/>
        </w:rPr>
        <w:t>施行前既存</w:t>
      </w:r>
      <w:proofErr w:type="gramEnd"/>
      <w:r w:rsidRPr="00D91817">
        <w:rPr>
          <w:rFonts w:ascii="新細明體" w:eastAsia="新細明體" w:hAnsi="新細明體" w:cs="新細明體" w:hint="eastAsia"/>
          <w:color w:val="333333"/>
          <w:spacing w:val="10"/>
          <w:kern w:val="0"/>
          <w:sz w:val="19"/>
          <w:szCs w:val="19"/>
        </w:rPr>
        <w:t>之事實（司法院釋字第605號解釋曾有田大法官協同意見書參照），故申報資料刊登政府公報及上網公告</w:t>
      </w:r>
      <w:proofErr w:type="gramStart"/>
      <w:r w:rsidRPr="00D91817">
        <w:rPr>
          <w:rFonts w:ascii="新細明體" w:eastAsia="新細明體" w:hAnsi="新細明體" w:cs="新細明體" w:hint="eastAsia"/>
          <w:color w:val="333333"/>
          <w:spacing w:val="10"/>
          <w:kern w:val="0"/>
          <w:sz w:val="19"/>
          <w:szCs w:val="19"/>
        </w:rPr>
        <w:t>時既應類推</w:t>
      </w:r>
      <w:proofErr w:type="gramEnd"/>
      <w:r w:rsidRPr="00D91817">
        <w:rPr>
          <w:rFonts w:ascii="新細明體" w:eastAsia="新細明體" w:hAnsi="新細明體" w:cs="新細明體" w:hint="eastAsia"/>
          <w:color w:val="333333"/>
          <w:spacing w:val="10"/>
          <w:kern w:val="0"/>
          <w:sz w:val="19"/>
          <w:szCs w:val="19"/>
        </w:rPr>
        <w:t>適用查閱辦法第12條第3項規定，則99年7月前之申報資料於網站上公告之既存事實既持續至該辦法修正施行後迄未完結，自仍應受新法之法律效果拘束（亦即應予遮蔽），屬法律事實之回溯連結，為「</w:t>
      </w:r>
      <w:proofErr w:type="gramStart"/>
      <w:r w:rsidRPr="00D91817">
        <w:rPr>
          <w:rFonts w:ascii="新細明體" w:eastAsia="新細明體" w:hAnsi="新細明體" w:cs="新細明體" w:hint="eastAsia"/>
          <w:color w:val="333333"/>
          <w:spacing w:val="10"/>
          <w:kern w:val="0"/>
          <w:sz w:val="19"/>
          <w:szCs w:val="19"/>
        </w:rPr>
        <w:t>不</w:t>
      </w:r>
      <w:proofErr w:type="gramEnd"/>
      <w:r w:rsidRPr="00D91817">
        <w:rPr>
          <w:rFonts w:ascii="新細明體" w:eastAsia="新細明體" w:hAnsi="新細明體" w:cs="新細明體" w:hint="eastAsia"/>
          <w:color w:val="333333"/>
          <w:spacing w:val="10"/>
          <w:kern w:val="0"/>
          <w:sz w:val="19"/>
          <w:szCs w:val="19"/>
        </w:rPr>
        <w:t>真正溯及既往」。</w:t>
      </w:r>
      <w:r w:rsidRPr="00D91817">
        <w:rPr>
          <w:rFonts w:ascii="新細明體" w:eastAsia="新細明體" w:hAnsi="新細明體" w:cs="新細明體" w:hint="eastAsia"/>
          <w:color w:val="333333"/>
          <w:spacing w:val="10"/>
          <w:kern w:val="0"/>
          <w:sz w:val="19"/>
          <w:szCs w:val="19"/>
        </w:rPr>
        <w:br/>
        <w:t>五、又受理申報機關（構）基於「公職人員財產申報</w:t>
      </w:r>
      <w:proofErr w:type="gramStart"/>
      <w:r w:rsidRPr="00D91817">
        <w:rPr>
          <w:rFonts w:ascii="新細明體" w:eastAsia="新細明體" w:hAnsi="新細明體" w:cs="新細明體" w:hint="eastAsia"/>
          <w:color w:val="333333"/>
          <w:spacing w:val="10"/>
          <w:kern w:val="0"/>
          <w:sz w:val="19"/>
          <w:szCs w:val="19"/>
        </w:rPr>
        <w:t>（</w:t>
      </w:r>
      <w:proofErr w:type="gramEnd"/>
      <w:r w:rsidRPr="00D91817">
        <w:rPr>
          <w:rFonts w:ascii="新細明體" w:eastAsia="新細明體" w:hAnsi="新細明體" w:cs="新細明體" w:hint="eastAsia"/>
          <w:color w:val="333333"/>
          <w:spacing w:val="10"/>
          <w:kern w:val="0"/>
          <w:sz w:val="19"/>
          <w:szCs w:val="19"/>
        </w:rPr>
        <w:t>個人資料保護法之特定目的及個人資料之類別：代號014</w:t>
      </w:r>
      <w:proofErr w:type="gramStart"/>
      <w:r w:rsidRPr="00D91817">
        <w:rPr>
          <w:rFonts w:ascii="新細明體" w:eastAsia="新細明體" w:hAnsi="新細明體" w:cs="新細明體" w:hint="eastAsia"/>
          <w:color w:val="333333"/>
          <w:spacing w:val="10"/>
          <w:kern w:val="0"/>
          <w:sz w:val="19"/>
          <w:szCs w:val="19"/>
        </w:rPr>
        <w:t>）</w:t>
      </w:r>
      <w:proofErr w:type="gramEnd"/>
      <w:r w:rsidRPr="00D91817">
        <w:rPr>
          <w:rFonts w:ascii="新細明體" w:eastAsia="新細明體" w:hAnsi="新細明體" w:cs="新細明體" w:hint="eastAsia"/>
          <w:color w:val="333333"/>
          <w:spacing w:val="10"/>
          <w:kern w:val="0"/>
          <w:sz w:val="19"/>
          <w:szCs w:val="19"/>
        </w:rPr>
        <w:t>」之特定目的，於「公職人員財產申報」之法定職務必要範圍內，將總統、副總統、五院正、副院長等公職人員及其配偶與未成年子女之申報資料刊登政府公報並上網公告，雖符合個人資料保護法第16條：「公務機關對個人資料之利用，除第六條第一項所規定資料外，應於執行法定職務必要範圍內為之，並與蒐集之特定目的相符。」規定，惟仍應考量在有助於達成目的之前提下，選擇採取對於當事人權益受損最小之方式為之，此有本部102年7月5日法律字第10203507360號函釋可</w:t>
      </w:r>
      <w:proofErr w:type="gramStart"/>
      <w:r w:rsidRPr="00D91817">
        <w:rPr>
          <w:rFonts w:ascii="新細明體" w:eastAsia="新細明體" w:hAnsi="新細明體" w:cs="新細明體" w:hint="eastAsia"/>
          <w:color w:val="333333"/>
          <w:spacing w:val="10"/>
          <w:kern w:val="0"/>
          <w:sz w:val="19"/>
          <w:szCs w:val="19"/>
        </w:rPr>
        <w:t>稽</w:t>
      </w:r>
      <w:proofErr w:type="gramEnd"/>
      <w:r w:rsidRPr="00D91817">
        <w:rPr>
          <w:rFonts w:ascii="新細明體" w:eastAsia="新細明體" w:hAnsi="新細明體" w:cs="新細明體" w:hint="eastAsia"/>
          <w:color w:val="333333"/>
          <w:spacing w:val="10"/>
          <w:kern w:val="0"/>
          <w:sz w:val="19"/>
          <w:szCs w:val="19"/>
        </w:rPr>
        <w:t>。</w:t>
      </w:r>
      <w:proofErr w:type="gramStart"/>
      <w:r w:rsidRPr="00D91817">
        <w:rPr>
          <w:rFonts w:ascii="新細明體" w:eastAsia="新細明體" w:hAnsi="新細明體" w:cs="新細明體" w:hint="eastAsia"/>
          <w:color w:val="333333"/>
          <w:spacing w:val="10"/>
          <w:kern w:val="0"/>
          <w:sz w:val="19"/>
          <w:szCs w:val="19"/>
        </w:rPr>
        <w:t>準</w:t>
      </w:r>
      <w:proofErr w:type="gramEnd"/>
      <w:r w:rsidRPr="00D91817">
        <w:rPr>
          <w:rFonts w:ascii="新細明體" w:eastAsia="新細明體" w:hAnsi="新細明體" w:cs="新細明體" w:hint="eastAsia"/>
          <w:color w:val="333333"/>
          <w:spacing w:val="10"/>
          <w:kern w:val="0"/>
          <w:sz w:val="19"/>
          <w:szCs w:val="19"/>
        </w:rPr>
        <w:t>此，99年7</w:t>
      </w:r>
      <w:r w:rsidRPr="00D91817">
        <w:rPr>
          <w:rFonts w:ascii="新細明體" w:eastAsia="新細明體" w:hAnsi="新細明體" w:cs="新細明體" w:hint="eastAsia"/>
          <w:color w:val="333333"/>
          <w:spacing w:val="10"/>
          <w:kern w:val="0"/>
          <w:sz w:val="19"/>
          <w:szCs w:val="19"/>
        </w:rPr>
        <w:lastRenderedPageBreak/>
        <w:t>月前之申報資料，於上網公告時仍應注意謹守特定目的之必要範圍，針對「非必要範圍」之</w:t>
      </w:r>
      <w:proofErr w:type="gramStart"/>
      <w:r w:rsidRPr="00D91817">
        <w:rPr>
          <w:rFonts w:ascii="新細明體" w:eastAsia="新細明體" w:hAnsi="新細明體" w:cs="新細明體" w:hint="eastAsia"/>
          <w:color w:val="333333"/>
          <w:spacing w:val="10"/>
          <w:kern w:val="0"/>
          <w:sz w:val="19"/>
          <w:szCs w:val="19"/>
        </w:rPr>
        <w:t>個</w:t>
      </w:r>
      <w:proofErr w:type="gramEnd"/>
      <w:r w:rsidRPr="00D91817">
        <w:rPr>
          <w:rFonts w:ascii="新細明體" w:eastAsia="新細明體" w:hAnsi="新細明體" w:cs="新細明體" w:hint="eastAsia"/>
          <w:color w:val="333333"/>
          <w:spacing w:val="10"/>
          <w:kern w:val="0"/>
          <w:sz w:val="19"/>
          <w:szCs w:val="19"/>
        </w:rPr>
        <w:t>資應進行遮蔽，以尊重申報人權益，避免違反比例原則。</w:t>
      </w:r>
      <w:r w:rsidRPr="00D91817">
        <w:rPr>
          <w:rFonts w:ascii="新細明體" w:eastAsia="新細明體" w:hAnsi="新細明體" w:cs="新細明體" w:hint="eastAsia"/>
          <w:color w:val="333333"/>
          <w:spacing w:val="10"/>
          <w:kern w:val="0"/>
          <w:sz w:val="19"/>
          <w:szCs w:val="19"/>
        </w:rPr>
        <w:br/>
        <w:t>六、據前所述，查閱辦法第12條第3項雖於98年5月15日始增訂，並溯自97年10月1日施行，惟 大院所保有之99年7月以前未遮蓋個人機敏資料之申報資料如需刊登政府公報並上網公告者，仍應依查閱辦法第12條第3項規定，遮蓋個人機敏資料後，始得刊登政府公報並上網公告。</w:t>
      </w:r>
      <w:r w:rsidRPr="00D91817">
        <w:rPr>
          <w:rFonts w:ascii="新細明體" w:eastAsia="新細明體" w:hAnsi="新細明體" w:cs="新細明體" w:hint="eastAsia"/>
          <w:color w:val="333333"/>
          <w:spacing w:val="10"/>
          <w:kern w:val="0"/>
          <w:sz w:val="19"/>
          <w:szCs w:val="19"/>
        </w:rPr>
        <w:br/>
        <w:t>七、至申報資料上網公告期限為何？有無必要將申報人歷年申報資料全部上網公告部分，</w:t>
      </w:r>
      <w:proofErr w:type="gramStart"/>
      <w:r w:rsidRPr="00D91817">
        <w:rPr>
          <w:rFonts w:ascii="新細明體" w:eastAsia="新細明體" w:hAnsi="新細明體" w:cs="新細明體" w:hint="eastAsia"/>
          <w:color w:val="333333"/>
          <w:spacing w:val="10"/>
          <w:kern w:val="0"/>
          <w:sz w:val="19"/>
          <w:szCs w:val="19"/>
        </w:rPr>
        <w:t>本部前業以</w:t>
      </w:r>
      <w:proofErr w:type="gramEnd"/>
      <w:r w:rsidRPr="00D91817">
        <w:rPr>
          <w:rFonts w:ascii="新細明體" w:eastAsia="新細明體" w:hAnsi="新細明體" w:cs="新細明體" w:hint="eastAsia"/>
          <w:color w:val="333333"/>
          <w:spacing w:val="10"/>
          <w:kern w:val="0"/>
          <w:sz w:val="19"/>
          <w:szCs w:val="19"/>
        </w:rPr>
        <w:t>102年9月9日</w:t>
      </w:r>
      <w:proofErr w:type="gramStart"/>
      <w:r w:rsidRPr="00D91817">
        <w:rPr>
          <w:rFonts w:ascii="新細明體" w:eastAsia="新細明體" w:hAnsi="新細明體" w:cs="新細明體" w:hint="eastAsia"/>
          <w:color w:val="333333"/>
          <w:spacing w:val="10"/>
          <w:kern w:val="0"/>
          <w:sz w:val="19"/>
          <w:szCs w:val="19"/>
        </w:rPr>
        <w:t>法授廉財字</w:t>
      </w:r>
      <w:proofErr w:type="gramEnd"/>
      <w:r w:rsidRPr="00D91817">
        <w:rPr>
          <w:rFonts w:ascii="新細明體" w:eastAsia="新細明體" w:hAnsi="新細明體" w:cs="新細明體" w:hint="eastAsia"/>
          <w:color w:val="333333"/>
          <w:spacing w:val="10"/>
          <w:kern w:val="0"/>
          <w:sz w:val="19"/>
          <w:szCs w:val="19"/>
        </w:rPr>
        <w:t>第10205024450號函復 大院，略</w:t>
      </w:r>
      <w:proofErr w:type="gramStart"/>
      <w:r w:rsidRPr="00D91817">
        <w:rPr>
          <w:rFonts w:ascii="新細明體" w:eastAsia="新細明體" w:hAnsi="新細明體" w:cs="新細明體" w:hint="eastAsia"/>
          <w:color w:val="333333"/>
          <w:spacing w:val="10"/>
          <w:kern w:val="0"/>
          <w:sz w:val="19"/>
          <w:szCs w:val="19"/>
        </w:rPr>
        <w:t>以</w:t>
      </w:r>
      <w:proofErr w:type="gramEnd"/>
      <w:r w:rsidRPr="00D91817">
        <w:rPr>
          <w:rFonts w:ascii="新細明體" w:eastAsia="新細明體" w:hAnsi="新細明體" w:cs="新細明體" w:hint="eastAsia"/>
          <w:color w:val="333333"/>
          <w:spacing w:val="10"/>
          <w:kern w:val="0"/>
          <w:sz w:val="19"/>
          <w:szCs w:val="19"/>
        </w:rPr>
        <w:t>：「如上網公告歷年申報資料將甚為龐雜，且本法第15條裁處權時效僅為5年，</w:t>
      </w:r>
      <w:proofErr w:type="gramStart"/>
      <w:r w:rsidRPr="00D91817">
        <w:rPr>
          <w:rFonts w:ascii="新細明體" w:eastAsia="新細明體" w:hAnsi="新細明體" w:cs="新細明體" w:hint="eastAsia"/>
          <w:color w:val="333333"/>
          <w:spacing w:val="10"/>
          <w:kern w:val="0"/>
          <w:sz w:val="19"/>
          <w:szCs w:val="19"/>
        </w:rPr>
        <w:t>為符實</w:t>
      </w:r>
      <w:proofErr w:type="gramEnd"/>
      <w:r w:rsidRPr="00D91817">
        <w:rPr>
          <w:rFonts w:ascii="新細明體" w:eastAsia="新細明體" w:hAnsi="新細明體" w:cs="新細明體" w:hint="eastAsia"/>
          <w:color w:val="333333"/>
          <w:spacing w:val="10"/>
          <w:kern w:val="0"/>
          <w:sz w:val="19"/>
          <w:szCs w:val="19"/>
        </w:rPr>
        <w:t>益，業</w:t>
      </w:r>
      <w:proofErr w:type="gramStart"/>
      <w:r w:rsidRPr="00D91817">
        <w:rPr>
          <w:rFonts w:ascii="新細明體" w:eastAsia="新細明體" w:hAnsi="新細明體" w:cs="新細明體" w:hint="eastAsia"/>
          <w:color w:val="333333"/>
          <w:spacing w:val="10"/>
          <w:kern w:val="0"/>
          <w:sz w:val="19"/>
          <w:szCs w:val="19"/>
        </w:rPr>
        <w:t>研</w:t>
      </w:r>
      <w:proofErr w:type="gramEnd"/>
      <w:r w:rsidRPr="00D91817">
        <w:rPr>
          <w:rFonts w:ascii="新細明體" w:eastAsia="新細明體" w:hAnsi="新細明體" w:cs="新細明體" w:hint="eastAsia"/>
          <w:color w:val="333333"/>
          <w:spacing w:val="10"/>
          <w:kern w:val="0"/>
          <w:sz w:val="19"/>
          <w:szCs w:val="19"/>
        </w:rPr>
        <w:t>擬修正草案於本法第6條第3項增列申報人自符合同條第2項資格起之最近5年申報資料應公開。」故建議 大院於本法未修正前，</w:t>
      </w:r>
      <w:proofErr w:type="gramStart"/>
      <w:r w:rsidRPr="00D91817">
        <w:rPr>
          <w:rFonts w:ascii="新細明體" w:eastAsia="新細明體" w:hAnsi="新細明體" w:cs="新細明體" w:hint="eastAsia"/>
          <w:color w:val="333333"/>
          <w:spacing w:val="10"/>
          <w:kern w:val="0"/>
          <w:sz w:val="19"/>
          <w:szCs w:val="19"/>
        </w:rPr>
        <w:t>可參據上</w:t>
      </w:r>
      <w:proofErr w:type="gramEnd"/>
      <w:r w:rsidRPr="00D91817">
        <w:rPr>
          <w:rFonts w:ascii="新細明體" w:eastAsia="新細明體" w:hAnsi="新細明體" w:cs="新細明體" w:hint="eastAsia"/>
          <w:color w:val="333333"/>
          <w:spacing w:val="10"/>
          <w:kern w:val="0"/>
          <w:sz w:val="19"/>
          <w:szCs w:val="19"/>
        </w:rPr>
        <w:t>開草案內容，本於權責自行參酌辦理。</w:t>
      </w:r>
    </w:p>
    <w:p w:rsidR="00D91817" w:rsidRPr="00D91817" w:rsidRDefault="00D91817" w:rsidP="00D91817">
      <w:pPr>
        <w:widowControl/>
        <w:spacing w:line="269" w:lineRule="atLeast"/>
        <w:rPr>
          <w:rFonts w:ascii="新細明體" w:eastAsia="新細明體" w:hAnsi="新細明體" w:cs="新細明體" w:hint="eastAsia"/>
          <w:color w:val="333333"/>
          <w:spacing w:val="10"/>
          <w:kern w:val="0"/>
          <w:sz w:val="19"/>
          <w:szCs w:val="19"/>
        </w:rPr>
      </w:pPr>
      <w:r w:rsidRPr="00D91817">
        <w:rPr>
          <w:rFonts w:ascii="新細明體" w:eastAsia="新細明體" w:hAnsi="新細明體" w:cs="新細明體" w:hint="eastAsia"/>
          <w:color w:val="333333"/>
          <w:spacing w:val="10"/>
          <w:kern w:val="0"/>
          <w:sz w:val="19"/>
          <w:szCs w:val="19"/>
        </w:rPr>
        <w:t>正本：監察院秘書長</w:t>
      </w:r>
      <w:r w:rsidRPr="00D91817">
        <w:rPr>
          <w:rFonts w:ascii="新細明體" w:eastAsia="新細明體" w:hAnsi="新細明體" w:cs="新細明體" w:hint="eastAsia"/>
          <w:color w:val="333333"/>
          <w:spacing w:val="10"/>
          <w:kern w:val="0"/>
          <w:sz w:val="19"/>
          <w:szCs w:val="19"/>
        </w:rPr>
        <w:br/>
        <w:t>副本：本部廉政署</w:t>
      </w:r>
    </w:p>
    <w:p w:rsidR="00D91FE1" w:rsidRPr="00D91817" w:rsidRDefault="00D91817">
      <w:bookmarkStart w:id="0" w:name="_GoBack"/>
      <w:bookmarkEnd w:id="0"/>
    </w:p>
    <w:sectPr w:rsidR="00D91FE1" w:rsidRPr="00D9181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17"/>
    <w:rsid w:val="00094B56"/>
    <w:rsid w:val="0027166B"/>
    <w:rsid w:val="00D918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C3B23-AB84-42EB-A9DA-27E69BB9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9181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75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2015-04-17T03:31:00Z</dcterms:created>
  <dcterms:modified xsi:type="dcterms:W3CDTF">2015-04-17T03:32:00Z</dcterms:modified>
</cp:coreProperties>
</file>