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2C" w:rsidRPr="0030673A" w:rsidRDefault="00373C2C" w:rsidP="00386E35">
      <w:pPr>
        <w:spacing w:line="600" w:lineRule="exact"/>
        <w:jc w:val="center"/>
        <w:rPr>
          <w:rFonts w:ascii="標楷體" w:eastAsia="標楷體" w:hAnsi="標楷體" w:hint="eastAsia"/>
          <w:b/>
          <w:color w:val="000000"/>
          <w:sz w:val="40"/>
          <w:szCs w:val="40"/>
        </w:rPr>
      </w:pPr>
      <w:r w:rsidRPr="0030673A">
        <w:rPr>
          <w:rFonts w:ascii="標楷體" w:eastAsia="標楷體" w:hAnsi="標楷體" w:hint="eastAsia"/>
          <w:b/>
          <w:color w:val="000000"/>
          <w:sz w:val="40"/>
          <w:szCs w:val="40"/>
        </w:rPr>
        <w:t>請託關說登錄</w:t>
      </w:r>
      <w:r w:rsidR="008F502A" w:rsidRPr="0030673A">
        <w:rPr>
          <w:rFonts w:ascii="標楷體" w:eastAsia="標楷體" w:hAnsi="標楷體" w:hint="eastAsia"/>
          <w:b/>
          <w:color w:val="000000"/>
          <w:sz w:val="40"/>
          <w:szCs w:val="40"/>
        </w:rPr>
        <w:t>事件</w:t>
      </w:r>
      <w:r w:rsidRPr="0030673A">
        <w:rPr>
          <w:rFonts w:ascii="標楷體" w:eastAsia="標楷體" w:hAnsi="標楷體" w:hint="eastAsia"/>
          <w:b/>
          <w:color w:val="000000"/>
          <w:sz w:val="40"/>
          <w:szCs w:val="40"/>
        </w:rPr>
        <w:t>抽查</w:t>
      </w:r>
      <w:r w:rsidR="008F502A" w:rsidRPr="0030673A">
        <w:rPr>
          <w:rFonts w:ascii="標楷體" w:eastAsia="標楷體" w:hAnsi="標楷體" w:hint="eastAsia"/>
          <w:b/>
          <w:color w:val="000000"/>
          <w:sz w:val="40"/>
          <w:szCs w:val="40"/>
        </w:rPr>
        <w:t>作業</w:t>
      </w:r>
      <w:r w:rsidR="00D60007" w:rsidRPr="0030673A">
        <w:rPr>
          <w:rFonts w:ascii="標楷體" w:eastAsia="標楷體" w:hAnsi="標楷體" w:hint="eastAsia"/>
          <w:b/>
          <w:color w:val="000000"/>
          <w:sz w:val="40"/>
          <w:szCs w:val="40"/>
        </w:rPr>
        <w:t>原則</w:t>
      </w:r>
    </w:p>
    <w:p w:rsidR="001472AA" w:rsidRPr="002D4D28" w:rsidRDefault="001472AA" w:rsidP="00A6504E">
      <w:pPr>
        <w:pStyle w:val="HTML"/>
        <w:numPr>
          <w:ilvl w:val="0"/>
          <w:numId w:val="4"/>
        </w:numPr>
        <w:tabs>
          <w:tab w:val="clear" w:pos="916"/>
          <w:tab w:val="left" w:pos="720"/>
        </w:tabs>
        <w:spacing w:line="600" w:lineRule="exact"/>
        <w:ind w:left="900" w:hanging="720"/>
        <w:jc w:val="both"/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</w:pPr>
      <w:r w:rsidRPr="002D4D28">
        <w:rPr>
          <w:rFonts w:ascii="標楷體" w:eastAsia="標楷體" w:hAnsi="標楷體" w:cs="Times New Roman"/>
          <w:color w:val="000000"/>
          <w:kern w:val="2"/>
          <w:sz w:val="32"/>
          <w:szCs w:val="32"/>
        </w:rPr>
        <w:t>為辦理</w:t>
      </w:r>
      <w:r w:rsidR="002D4D28" w:rsidRPr="002D4D28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「行政院及所屬機關機構請託關說登錄查察作業要點」</w:t>
      </w:r>
      <w:r w:rsidR="00A6504E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（下稱本要點）</w:t>
      </w:r>
      <w:r w:rsidR="002D4D28" w:rsidRPr="002D4D28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第7點</w:t>
      </w:r>
      <w:r w:rsidR="00E41BE2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規</w:t>
      </w:r>
      <w:r w:rsidRPr="002D4D28">
        <w:rPr>
          <w:rFonts w:ascii="標楷體" w:eastAsia="標楷體" w:hAnsi="標楷體" w:cs="Times New Roman"/>
          <w:color w:val="000000"/>
          <w:kern w:val="2"/>
          <w:sz w:val="32"/>
          <w:szCs w:val="32"/>
        </w:rPr>
        <w:t>定</w:t>
      </w:r>
      <w:r w:rsidR="00C65CCE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抽查</w:t>
      </w:r>
      <w:r w:rsidRPr="002D4D28">
        <w:rPr>
          <w:rFonts w:ascii="標楷體" w:eastAsia="標楷體" w:hAnsi="標楷體" w:cs="Times New Roman"/>
          <w:color w:val="000000"/>
          <w:kern w:val="2"/>
          <w:sz w:val="32"/>
          <w:szCs w:val="32"/>
        </w:rPr>
        <w:t>作業，特訂定本</w:t>
      </w:r>
      <w:r w:rsidR="00D60007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原則</w:t>
      </w:r>
      <w:r w:rsidRPr="002D4D28">
        <w:rPr>
          <w:rFonts w:ascii="標楷體" w:eastAsia="標楷體" w:hAnsi="標楷體" w:cs="Times New Roman"/>
          <w:color w:val="000000"/>
          <w:kern w:val="2"/>
          <w:sz w:val="32"/>
          <w:szCs w:val="32"/>
        </w:rPr>
        <w:t>。</w:t>
      </w:r>
    </w:p>
    <w:p w:rsidR="008F502A" w:rsidRPr="009B584C" w:rsidRDefault="003526B2" w:rsidP="00A6504E">
      <w:pPr>
        <w:pStyle w:val="HTML"/>
        <w:numPr>
          <w:ilvl w:val="0"/>
          <w:numId w:val="4"/>
        </w:numPr>
        <w:tabs>
          <w:tab w:val="clear" w:pos="916"/>
          <w:tab w:val="left" w:pos="720"/>
        </w:tabs>
        <w:spacing w:line="600" w:lineRule="exact"/>
        <w:ind w:left="900" w:hanging="720"/>
        <w:jc w:val="both"/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法務部</w:t>
      </w:r>
      <w:r w:rsidR="001E0600" w:rsidRPr="00406114">
        <w:rPr>
          <w:rFonts w:ascii="標楷體" w:eastAsia="標楷體" w:hAnsi="標楷體" w:hint="eastAsia"/>
          <w:color w:val="000000"/>
          <w:sz w:val="32"/>
          <w:szCs w:val="32"/>
        </w:rPr>
        <w:t>廉政署、中央二級以上機關政風機構及準用</w:t>
      </w:r>
      <w:r w:rsidR="001E0600">
        <w:rPr>
          <w:rFonts w:ascii="標楷體" w:eastAsia="標楷體" w:hAnsi="標楷體" w:hint="eastAsia"/>
          <w:color w:val="000000"/>
          <w:sz w:val="32"/>
          <w:szCs w:val="32"/>
        </w:rPr>
        <w:t>本要點與參照本要點自行訂定作業要點</w:t>
      </w:r>
      <w:r w:rsidR="001E0600" w:rsidRPr="00406114">
        <w:rPr>
          <w:rFonts w:ascii="標楷體" w:eastAsia="標楷體" w:hAnsi="標楷體" w:hint="eastAsia"/>
          <w:color w:val="000000"/>
          <w:sz w:val="32"/>
          <w:szCs w:val="32"/>
        </w:rPr>
        <w:t>之主管機關政風機構</w:t>
      </w:r>
      <w:r w:rsidR="00305103">
        <w:rPr>
          <w:rFonts w:ascii="標楷體" w:eastAsia="標楷體" w:hAnsi="標楷體" w:hint="eastAsia"/>
          <w:color w:val="000000"/>
          <w:sz w:val="32"/>
          <w:szCs w:val="32"/>
        </w:rPr>
        <w:t>應就請託關說登錄之資料辦理</w:t>
      </w:r>
      <w:r w:rsidR="00E41BE2">
        <w:rPr>
          <w:rFonts w:ascii="標楷體" w:eastAsia="標楷體" w:hAnsi="標楷體" w:hint="eastAsia"/>
          <w:color w:val="000000"/>
          <w:sz w:val="32"/>
          <w:szCs w:val="32"/>
        </w:rPr>
        <w:t>抽查</w:t>
      </w:r>
      <w:r w:rsidR="001E0600" w:rsidRPr="00406114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9C2F7A" w:rsidRPr="009B584C" w:rsidRDefault="00A6504E" w:rsidP="006B0196">
      <w:pPr>
        <w:pStyle w:val="HTML"/>
        <w:numPr>
          <w:ilvl w:val="0"/>
          <w:numId w:val="4"/>
        </w:numPr>
        <w:tabs>
          <w:tab w:val="clear" w:pos="916"/>
          <w:tab w:val="left" w:pos="720"/>
          <w:tab w:val="left" w:pos="5220"/>
        </w:tabs>
        <w:spacing w:line="600" w:lineRule="exact"/>
        <w:ind w:left="900" w:hanging="720"/>
        <w:jc w:val="both"/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抽查單位</w:t>
      </w:r>
      <w:r w:rsidR="00305103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對於</w:t>
      </w:r>
      <w:r w:rsidR="00332C19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請託關說</w:t>
      </w: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事件</w:t>
      </w:r>
      <w:r w:rsidR="00332C19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登錄</w:t>
      </w:r>
      <w:r w:rsidR="00305103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之</w:t>
      </w:r>
      <w:r w:rsidR="00332C19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資料</w:t>
      </w:r>
      <w:r w:rsidR="00305103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應依</w:t>
      </w:r>
      <w:r w:rsidR="00332C19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下列</w:t>
      </w:r>
      <w:r w:rsidR="00305103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規定進行</w:t>
      </w:r>
      <w:r w:rsidR="009C2F7A" w:rsidRPr="009B584C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抽查：</w:t>
      </w:r>
    </w:p>
    <w:p w:rsidR="009C2F7A" w:rsidRPr="00305103" w:rsidRDefault="001E0600" w:rsidP="006B0196">
      <w:pPr>
        <w:pStyle w:val="HTML"/>
        <w:numPr>
          <w:ilvl w:val="1"/>
          <w:numId w:val="4"/>
        </w:numPr>
        <w:tabs>
          <w:tab w:val="clear" w:pos="916"/>
          <w:tab w:val="left" w:pos="720"/>
          <w:tab w:val="left" w:pos="5220"/>
        </w:tabs>
        <w:spacing w:line="600" w:lineRule="exact"/>
        <w:ind w:left="2552" w:hanging="2098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固定抽查：</w:t>
      </w:r>
      <w:r w:rsidR="007E4633">
        <w:rPr>
          <w:rFonts w:ascii="標楷體" w:eastAsia="標楷體" w:hAnsi="標楷體" w:hint="eastAsia"/>
          <w:color w:val="000000"/>
          <w:sz w:val="32"/>
          <w:szCs w:val="32"/>
        </w:rPr>
        <w:t>辦理抽查單位</w:t>
      </w:r>
      <w:r w:rsidR="00305103" w:rsidRPr="00305103">
        <w:rPr>
          <w:rFonts w:ascii="標楷體" w:eastAsia="標楷體" w:hAnsi="標楷體" w:hint="eastAsia"/>
          <w:color w:val="000000"/>
          <w:sz w:val="32"/>
          <w:szCs w:val="32"/>
        </w:rPr>
        <w:t>於每</w:t>
      </w:r>
      <w:r w:rsidR="00305103">
        <w:rPr>
          <w:rFonts w:ascii="標楷體" w:eastAsia="標楷體" w:hAnsi="標楷體" w:hint="eastAsia"/>
          <w:color w:val="000000"/>
          <w:sz w:val="32"/>
          <w:szCs w:val="32"/>
        </w:rPr>
        <w:t>季結束後之</w:t>
      </w:r>
      <w:r w:rsidR="00305103" w:rsidRPr="00506C97">
        <w:rPr>
          <w:rFonts w:ascii="標楷體" w:eastAsia="標楷體" w:hAnsi="標楷體" w:hint="eastAsia"/>
          <w:color w:val="000000"/>
          <w:sz w:val="32"/>
          <w:szCs w:val="32"/>
        </w:rPr>
        <w:t>次月</w:t>
      </w:r>
      <w:r w:rsidR="007E4633">
        <w:rPr>
          <w:rFonts w:ascii="標楷體" w:eastAsia="標楷體" w:hAnsi="標楷體" w:hint="eastAsia"/>
          <w:color w:val="000000"/>
          <w:sz w:val="32"/>
          <w:szCs w:val="32"/>
        </w:rPr>
        <w:t>（1、4、7、10月）</w:t>
      </w:r>
      <w:r w:rsidR="00305103" w:rsidRPr="00506C97">
        <w:rPr>
          <w:rFonts w:ascii="標楷體" w:eastAsia="標楷體" w:hAnsi="標楷體"/>
          <w:color w:val="000000"/>
          <w:sz w:val="32"/>
          <w:szCs w:val="32"/>
        </w:rPr>
        <w:t>1</w:t>
      </w:r>
      <w:r w:rsidR="00305103">
        <w:rPr>
          <w:rFonts w:ascii="標楷體" w:eastAsia="標楷體" w:hAnsi="標楷體" w:hint="eastAsia"/>
          <w:color w:val="000000"/>
          <w:sz w:val="32"/>
          <w:szCs w:val="32"/>
        </w:rPr>
        <w:t>0</w:t>
      </w:r>
      <w:r w:rsidR="00305103" w:rsidRPr="00506C97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305103">
        <w:rPr>
          <w:rFonts w:ascii="標楷體" w:eastAsia="標楷體" w:hAnsi="標楷體" w:hint="eastAsia"/>
          <w:color w:val="000000"/>
          <w:sz w:val="32"/>
          <w:szCs w:val="32"/>
        </w:rPr>
        <w:t>前</w:t>
      </w:r>
      <w:r w:rsidR="004345CF">
        <w:rPr>
          <w:rFonts w:ascii="標楷體" w:eastAsia="標楷體" w:hAnsi="標楷體" w:hint="eastAsia"/>
          <w:color w:val="000000"/>
          <w:sz w:val="32"/>
          <w:szCs w:val="32"/>
        </w:rPr>
        <w:t>完成</w:t>
      </w:r>
      <w:r w:rsidR="00305103">
        <w:rPr>
          <w:rFonts w:ascii="標楷體" w:eastAsia="標楷體" w:hAnsi="標楷體" w:hint="eastAsia"/>
          <w:color w:val="000000"/>
          <w:sz w:val="32"/>
          <w:szCs w:val="32"/>
        </w:rPr>
        <w:t>抽</w:t>
      </w:r>
      <w:r w:rsidR="004345CF">
        <w:rPr>
          <w:rFonts w:ascii="標楷體" w:eastAsia="標楷體" w:hAnsi="標楷體" w:hint="eastAsia"/>
          <w:color w:val="000000"/>
          <w:sz w:val="32"/>
          <w:szCs w:val="32"/>
        </w:rPr>
        <w:t>籤</w:t>
      </w:r>
      <w:r w:rsidR="00305103">
        <w:rPr>
          <w:rFonts w:ascii="標楷體" w:eastAsia="標楷體" w:hAnsi="標楷體" w:hint="eastAsia"/>
          <w:color w:val="000000"/>
          <w:sz w:val="32"/>
          <w:szCs w:val="32"/>
        </w:rPr>
        <w:t>作業</w:t>
      </w:r>
      <w:r w:rsidR="00F37D71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506C97">
        <w:rPr>
          <w:rFonts w:ascii="標楷體" w:eastAsia="標楷體" w:hAnsi="標楷體" w:hint="eastAsia"/>
          <w:color w:val="000000"/>
          <w:sz w:val="32"/>
          <w:szCs w:val="32"/>
        </w:rPr>
        <w:t>抽查比例</w:t>
      </w:r>
      <w:r>
        <w:rPr>
          <w:rFonts w:ascii="標楷體" w:eastAsia="標楷體" w:hAnsi="標楷體" w:hint="eastAsia"/>
          <w:color w:val="000000"/>
          <w:sz w:val="32"/>
          <w:szCs w:val="32"/>
        </w:rPr>
        <w:t>暫定</w:t>
      </w:r>
      <w:r w:rsidRPr="00506C97">
        <w:rPr>
          <w:rFonts w:ascii="標楷體" w:eastAsia="標楷體" w:hAnsi="標楷體" w:hint="eastAsia"/>
          <w:color w:val="000000"/>
          <w:sz w:val="32"/>
          <w:szCs w:val="32"/>
        </w:rPr>
        <w:t>為</w:t>
      </w:r>
      <w:r w:rsidR="00141508">
        <w:rPr>
          <w:rFonts w:ascii="標楷體" w:eastAsia="標楷體" w:hAnsi="標楷體" w:hint="eastAsia"/>
          <w:color w:val="000000"/>
          <w:sz w:val="32"/>
          <w:szCs w:val="32"/>
        </w:rPr>
        <w:t>百分之十四</w:t>
      </w:r>
      <w:r>
        <w:rPr>
          <w:rFonts w:ascii="標楷體" w:eastAsia="標楷體" w:hAnsi="標楷體" w:hint="eastAsia"/>
          <w:color w:val="000000"/>
          <w:sz w:val="32"/>
          <w:szCs w:val="32"/>
        </w:rPr>
        <w:t>（參考公職人員財產申報資料實質審查比例，</w:t>
      </w:r>
      <w:r w:rsidRPr="00506C97">
        <w:rPr>
          <w:rFonts w:ascii="標楷體" w:eastAsia="標楷體" w:hAnsi="標楷體" w:hint="eastAsia"/>
          <w:color w:val="000000"/>
          <w:sz w:val="32"/>
          <w:szCs w:val="32"/>
        </w:rPr>
        <w:t>遇有小數點則無條件進位</w:t>
      </w:r>
      <w:r>
        <w:rPr>
          <w:rFonts w:ascii="標楷體" w:eastAsia="標楷體" w:hAnsi="標楷體" w:hint="eastAsia"/>
          <w:color w:val="000000"/>
          <w:sz w:val="32"/>
          <w:szCs w:val="32"/>
        </w:rPr>
        <w:t>），廉政署</w:t>
      </w:r>
      <w:r w:rsidR="00305103">
        <w:rPr>
          <w:rFonts w:ascii="標楷體" w:eastAsia="標楷體" w:hAnsi="標楷體" w:hint="eastAsia"/>
          <w:color w:val="000000"/>
          <w:sz w:val="32"/>
          <w:szCs w:val="32"/>
        </w:rPr>
        <w:t>可</w:t>
      </w:r>
      <w:r w:rsidRPr="00506C97">
        <w:rPr>
          <w:rFonts w:ascii="標楷體" w:eastAsia="標楷體" w:hAnsi="標楷體" w:hint="eastAsia"/>
          <w:color w:val="000000"/>
          <w:sz w:val="32"/>
          <w:szCs w:val="32"/>
        </w:rPr>
        <w:t>視狀況調整</w:t>
      </w:r>
      <w:r w:rsidR="009C2F7A" w:rsidRPr="0030510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7720EA" w:rsidRDefault="001E0600" w:rsidP="00A6504E">
      <w:pPr>
        <w:pStyle w:val="HTML"/>
        <w:numPr>
          <w:ilvl w:val="1"/>
          <w:numId w:val="4"/>
        </w:numPr>
        <w:tabs>
          <w:tab w:val="clear" w:pos="916"/>
          <w:tab w:val="left" w:pos="720"/>
        </w:tabs>
        <w:spacing w:line="600" w:lineRule="exact"/>
        <w:ind w:left="2552" w:hanging="2098"/>
        <w:jc w:val="both"/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</w:pPr>
      <w:r w:rsidRPr="00406114">
        <w:rPr>
          <w:rFonts w:ascii="標楷體" w:eastAsia="標楷體" w:hAnsi="標楷體" w:hint="eastAsia"/>
          <w:color w:val="000000"/>
          <w:sz w:val="32"/>
          <w:szCs w:val="32"/>
        </w:rPr>
        <w:t>指定抽查：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遇有</w:t>
      </w:r>
      <w:r w:rsidRPr="00406114">
        <w:rPr>
          <w:rFonts w:ascii="標楷體" w:eastAsia="標楷體" w:hAnsi="標楷體" w:hint="eastAsia"/>
          <w:color w:val="000000"/>
          <w:sz w:val="32"/>
          <w:szCs w:val="32"/>
        </w:rPr>
        <w:t>重大不法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406114">
        <w:rPr>
          <w:rFonts w:ascii="標楷體" w:eastAsia="標楷體" w:hAnsi="標楷體" w:hint="eastAsia"/>
          <w:color w:val="000000"/>
          <w:sz w:val="32"/>
          <w:szCs w:val="32"/>
        </w:rPr>
        <w:t>社會矚目之請託關說</w:t>
      </w:r>
      <w:r>
        <w:rPr>
          <w:rFonts w:ascii="標楷體" w:eastAsia="標楷體" w:hAnsi="標楷體" w:hint="eastAsia"/>
          <w:color w:val="000000"/>
          <w:sz w:val="32"/>
          <w:szCs w:val="32"/>
        </w:rPr>
        <w:t>事</w:t>
      </w:r>
      <w:r w:rsidRPr="00406114">
        <w:rPr>
          <w:rFonts w:ascii="標楷體" w:eastAsia="標楷體" w:hAnsi="標楷體" w:hint="eastAsia"/>
          <w:color w:val="000000"/>
          <w:sz w:val="32"/>
          <w:szCs w:val="32"/>
        </w:rPr>
        <w:t>件</w:t>
      </w:r>
      <w:r>
        <w:rPr>
          <w:rFonts w:ascii="標楷體" w:eastAsia="標楷體" w:hAnsi="標楷體" w:hint="eastAsia"/>
          <w:color w:val="000000"/>
          <w:sz w:val="32"/>
          <w:szCs w:val="32"/>
        </w:rPr>
        <w:t>或有必要時</w:t>
      </w:r>
      <w:r w:rsidRPr="00406114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406114">
        <w:rPr>
          <w:rFonts w:ascii="標楷體" w:eastAsia="標楷體" w:hAnsi="標楷體"/>
          <w:color w:val="000000"/>
          <w:sz w:val="32"/>
          <w:szCs w:val="32"/>
        </w:rPr>
        <w:t>得</w:t>
      </w:r>
      <w:r>
        <w:rPr>
          <w:rFonts w:ascii="標楷體" w:eastAsia="標楷體" w:hAnsi="標楷體" w:hint="eastAsia"/>
          <w:color w:val="000000"/>
          <w:sz w:val="32"/>
          <w:szCs w:val="32"/>
        </w:rPr>
        <w:t>辦理</w:t>
      </w:r>
      <w:r w:rsidRPr="00406114">
        <w:rPr>
          <w:rFonts w:ascii="標楷體" w:eastAsia="標楷體" w:hAnsi="標楷體"/>
          <w:color w:val="000000"/>
          <w:sz w:val="32"/>
          <w:szCs w:val="32"/>
        </w:rPr>
        <w:t>抽</w:t>
      </w:r>
      <w:r w:rsidRPr="00406114">
        <w:rPr>
          <w:rFonts w:ascii="標楷體" w:eastAsia="標楷體" w:hAnsi="標楷體" w:hint="eastAsia"/>
          <w:color w:val="000000"/>
          <w:sz w:val="32"/>
          <w:szCs w:val="32"/>
        </w:rPr>
        <w:t>查</w:t>
      </w:r>
      <w:r w:rsidR="009C2F7A" w:rsidRPr="00143C65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。</w:t>
      </w:r>
    </w:p>
    <w:p w:rsidR="00977F13" w:rsidRDefault="00977F13" w:rsidP="00FC7F12">
      <w:pPr>
        <w:pStyle w:val="HTML"/>
        <w:numPr>
          <w:ilvl w:val="0"/>
          <w:numId w:val="4"/>
        </w:numPr>
        <w:tabs>
          <w:tab w:val="clear" w:pos="916"/>
          <w:tab w:val="left" w:pos="720"/>
        </w:tabs>
        <w:spacing w:line="600" w:lineRule="exact"/>
        <w:ind w:left="900" w:hanging="720"/>
        <w:jc w:val="both"/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各抽查單位</w:t>
      </w:r>
      <w:r w:rsidR="00713A55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辦理固定抽查時，</w:t>
      </w:r>
      <w:r w:rsidR="006B0196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應</w:t>
      </w: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就本機關及所屬機關受理登錄</w:t>
      </w:r>
      <w:r w:rsidR="006B0196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之</w:t>
      </w: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案件，</w:t>
      </w:r>
      <w:r w:rsidR="0097076D" w:rsidRPr="009A141D">
        <w:rPr>
          <w:rFonts w:ascii="標楷體" w:eastAsia="標楷體" w:hAnsi="標楷體" w:hint="eastAsia"/>
          <w:color w:val="000000"/>
          <w:sz w:val="32"/>
          <w:szCs w:val="32"/>
        </w:rPr>
        <w:t>以隨機公開方式</w:t>
      </w:r>
      <w:r w:rsidR="00B5712B" w:rsidRPr="009A141D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6B0196" w:rsidRPr="009A141D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依</w:t>
      </w:r>
      <w:r w:rsidRPr="009A141D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前項</w:t>
      </w:r>
      <w:r w:rsidR="00713A55" w:rsidRPr="009A141D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所訂</w:t>
      </w:r>
      <w:r w:rsidRPr="009A141D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抽查比例</w:t>
      </w:r>
      <w:r w:rsidR="00713A55" w:rsidRPr="009A141D">
        <w:rPr>
          <w:rFonts w:ascii="標楷體" w:eastAsia="標楷體" w:hAnsi="標楷體" w:hint="eastAsia"/>
          <w:color w:val="000000"/>
          <w:sz w:val="32"/>
          <w:szCs w:val="32"/>
        </w:rPr>
        <w:t>辦理</w:t>
      </w:r>
      <w:r w:rsidRPr="009A141D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抽籤作業</w:t>
      </w: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，</w:t>
      </w:r>
      <w:r w:rsidR="006B0196">
        <w:rPr>
          <w:rFonts w:ascii="標楷體" w:eastAsia="標楷體" w:hAnsi="標楷體" w:hint="eastAsia"/>
          <w:color w:val="000000"/>
          <w:sz w:val="32"/>
          <w:szCs w:val="32"/>
        </w:rPr>
        <w:t>並於當月底前</w:t>
      </w:r>
      <w:r w:rsidR="00C44087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將抽查結果填報「</w:t>
      </w:r>
      <w:r w:rsidR="00C44087" w:rsidRPr="00E2591A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請託關說登錄抽查案件彙整表</w:t>
      </w:r>
      <w:r w:rsidR="00C44087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」送廉政署</w:t>
      </w:r>
      <w:r w:rsidR="009D5EC2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彙辦</w:t>
      </w:r>
      <w:r w:rsidR="00C44087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。</w:t>
      </w:r>
    </w:p>
    <w:p w:rsidR="00FC7F12" w:rsidRDefault="006134B8" w:rsidP="00FC7F12">
      <w:pPr>
        <w:pStyle w:val="HTML"/>
        <w:numPr>
          <w:ilvl w:val="0"/>
          <w:numId w:val="4"/>
        </w:numPr>
        <w:tabs>
          <w:tab w:val="clear" w:pos="916"/>
          <w:tab w:val="left" w:pos="720"/>
        </w:tabs>
        <w:spacing w:line="600" w:lineRule="exact"/>
        <w:ind w:left="900" w:hanging="720"/>
        <w:jc w:val="both"/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</w:pPr>
      <w:r w:rsidRPr="006134B8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各抽查單位除應瞭解抽查之案件有無依照本要點之規定確實登錄外，並應研析案件內容，瞭解登錄之請託關說事件是否確依相關法令規定處理</w:t>
      </w:r>
      <w:r w:rsidR="00FC7F12" w:rsidRPr="009B584C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。</w:t>
      </w:r>
    </w:p>
    <w:p w:rsidR="007D4190" w:rsidRDefault="007D4190" w:rsidP="007D4190">
      <w:pPr>
        <w:pStyle w:val="HTML"/>
        <w:numPr>
          <w:ilvl w:val="0"/>
          <w:numId w:val="4"/>
        </w:numPr>
        <w:tabs>
          <w:tab w:val="clear" w:pos="916"/>
          <w:tab w:val="left" w:pos="720"/>
        </w:tabs>
        <w:spacing w:line="600" w:lineRule="exact"/>
        <w:ind w:left="900" w:hanging="720"/>
        <w:jc w:val="both"/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lastRenderedPageBreak/>
        <w:t>抽查單位實施</w:t>
      </w:r>
      <w:r w:rsidRPr="009B584C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抽查作業</w:t>
      </w: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時</w:t>
      </w:r>
      <w:r w:rsidRPr="009B584C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，得</w:t>
      </w: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依規定向本機關（構）、相關單位或他機關（構）、團體、個人查詢並調借有關卷證</w:t>
      </w:r>
      <w:r w:rsidRPr="009B584C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。</w:t>
      </w:r>
    </w:p>
    <w:p w:rsidR="00713A55" w:rsidRDefault="00713A55" w:rsidP="007D4190">
      <w:pPr>
        <w:pStyle w:val="HTML"/>
        <w:numPr>
          <w:ilvl w:val="0"/>
          <w:numId w:val="4"/>
        </w:numPr>
        <w:tabs>
          <w:tab w:val="clear" w:pos="916"/>
          <w:tab w:val="left" w:pos="720"/>
        </w:tabs>
        <w:spacing w:line="600" w:lineRule="exact"/>
        <w:ind w:left="900" w:hanging="720"/>
        <w:jc w:val="both"/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</w:pPr>
      <w:r w:rsidRPr="00713A55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抽查單位辦理抽查作業時，如發現貪瀆不法情事，應立即陳報廉政署，並於抽查作業完成後，</w:t>
      </w:r>
      <w:r w:rsidR="000C3CBC" w:rsidRPr="000C3CBC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彙整抽查結果陳報廉政署，必要時研提策進作為。</w:t>
      </w:r>
    </w:p>
    <w:p w:rsidR="00D31B88" w:rsidRPr="009B584C" w:rsidRDefault="00D31B88" w:rsidP="00A6504E">
      <w:pPr>
        <w:pStyle w:val="HTML"/>
        <w:numPr>
          <w:ilvl w:val="0"/>
          <w:numId w:val="4"/>
        </w:numPr>
        <w:tabs>
          <w:tab w:val="clear" w:pos="916"/>
          <w:tab w:val="left" w:pos="720"/>
        </w:tabs>
        <w:spacing w:line="600" w:lineRule="exact"/>
        <w:ind w:left="900" w:hanging="720"/>
        <w:jc w:val="both"/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抽查單位進行抽查詢問時，所得之資訊及所</w:t>
      </w:r>
      <w:r w:rsidR="00837E71">
        <w:rPr>
          <w:rFonts w:ascii="標楷體" w:eastAsia="標楷體" w:hAnsi="標楷體" w:cs="Times New Roman" w:hint="eastAsia"/>
          <w:color w:val="000000"/>
          <w:kern w:val="2"/>
          <w:sz w:val="32"/>
          <w:szCs w:val="32"/>
        </w:rPr>
        <w:t>知之事項應予保密，並留存完整之抽查紀錄。</w:t>
      </w:r>
    </w:p>
    <w:sectPr w:rsidR="00D31B88" w:rsidRPr="009B58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9CE" w:rsidRDefault="002E39CE" w:rsidP="00386E35">
      <w:r>
        <w:separator/>
      </w:r>
    </w:p>
  </w:endnote>
  <w:endnote w:type="continuationSeparator" w:id="1">
    <w:p w:rsidR="002E39CE" w:rsidRDefault="002E39CE" w:rsidP="00386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9CE" w:rsidRDefault="002E39CE" w:rsidP="00386E35">
      <w:r>
        <w:separator/>
      </w:r>
    </w:p>
  </w:footnote>
  <w:footnote w:type="continuationSeparator" w:id="1">
    <w:p w:rsidR="002E39CE" w:rsidRDefault="002E39CE" w:rsidP="00386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F50"/>
    <w:multiLevelType w:val="multilevel"/>
    <w:tmpl w:val="6D18B754"/>
    <w:lvl w:ilvl="0">
      <w:start w:val="1"/>
      <w:numFmt w:val="taiwaneseCountingThousand"/>
      <w:suff w:val="nothing"/>
      <w:lvlText w:val="%1、"/>
      <w:lvlJc w:val="left"/>
      <w:pPr>
        <w:ind w:left="1230" w:hanging="510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304" w:hanging="453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2FC021E5"/>
    <w:multiLevelType w:val="hybridMultilevel"/>
    <w:tmpl w:val="DBB8CEE8"/>
    <w:lvl w:ilvl="0" w:tplc="008431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b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054D3"/>
    <w:multiLevelType w:val="multilevel"/>
    <w:tmpl w:val="D0200D5A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ascii="Times New Roman" w:eastAsia="標楷體" w:hAnsi="Times New Roman" w:hint="eastAsia"/>
        <w:b w:val="0"/>
        <w:i w:val="0"/>
        <w:color w:val="00000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67"/>
      </w:pPr>
    </w:lvl>
    <w:lvl w:ilvl="2">
      <w:start w:val="1"/>
      <w:numFmt w:val="decimal"/>
      <w:suff w:val="nothing"/>
      <w:lvlText w:val="%3、"/>
      <w:lvlJc w:val="left"/>
      <w:pPr>
        <w:ind w:left="1304" w:hanging="453"/>
      </w:pPr>
    </w:lvl>
    <w:lvl w:ilvl="3">
      <w:start w:val="1"/>
      <w:numFmt w:val="decimal"/>
      <w:suff w:val="nothing"/>
      <w:lvlText w:val="(%4)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5DD15D5A"/>
    <w:multiLevelType w:val="multilevel"/>
    <w:tmpl w:val="0FCC436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4C93E20"/>
    <w:multiLevelType w:val="hybridMultilevel"/>
    <w:tmpl w:val="BE5429C4"/>
    <w:lvl w:ilvl="0" w:tplc="1BEA694C">
      <w:start w:val="1"/>
      <w:numFmt w:val="taiwaneseCountingThousand"/>
      <w:lvlText w:val="%1、"/>
      <w:lvlJc w:val="left"/>
      <w:pPr>
        <w:tabs>
          <w:tab w:val="num" w:pos="0"/>
        </w:tabs>
        <w:ind w:left="510" w:hanging="510"/>
      </w:pPr>
      <w:rPr>
        <w:rFonts w:cs="Times New Roman" w:hint="eastAsia"/>
      </w:rPr>
    </w:lvl>
    <w:lvl w:ilvl="1" w:tplc="3C225BF8">
      <w:start w:val="7"/>
      <w:numFmt w:val="taiwaneseCountingThousand"/>
      <w:lvlText w:val="%2、"/>
      <w:lvlJc w:val="left"/>
      <w:pPr>
        <w:tabs>
          <w:tab w:val="num" w:pos="540"/>
        </w:tabs>
        <w:ind w:left="1050" w:hanging="51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C2C"/>
    <w:rsid w:val="00004E52"/>
    <w:rsid w:val="000205BC"/>
    <w:rsid w:val="00025D5D"/>
    <w:rsid w:val="000640FF"/>
    <w:rsid w:val="000849D3"/>
    <w:rsid w:val="000B7C68"/>
    <w:rsid w:val="000C3CBC"/>
    <w:rsid w:val="000E3043"/>
    <w:rsid w:val="000F3BAB"/>
    <w:rsid w:val="001114CB"/>
    <w:rsid w:val="00141508"/>
    <w:rsid w:val="00143C65"/>
    <w:rsid w:val="001472AA"/>
    <w:rsid w:val="00196372"/>
    <w:rsid w:val="001C71F8"/>
    <w:rsid w:val="001C7BC3"/>
    <w:rsid w:val="001E0600"/>
    <w:rsid w:val="00225899"/>
    <w:rsid w:val="00241BF4"/>
    <w:rsid w:val="00261EE2"/>
    <w:rsid w:val="002A1D0A"/>
    <w:rsid w:val="002D4D28"/>
    <w:rsid w:val="002E39CE"/>
    <w:rsid w:val="00305103"/>
    <w:rsid w:val="0030673A"/>
    <w:rsid w:val="00312971"/>
    <w:rsid w:val="00316415"/>
    <w:rsid w:val="00332C19"/>
    <w:rsid w:val="003526B2"/>
    <w:rsid w:val="00352B40"/>
    <w:rsid w:val="00373C2C"/>
    <w:rsid w:val="00386E35"/>
    <w:rsid w:val="00387285"/>
    <w:rsid w:val="004345CF"/>
    <w:rsid w:val="005755C8"/>
    <w:rsid w:val="00576737"/>
    <w:rsid w:val="005B5CD5"/>
    <w:rsid w:val="005B6F40"/>
    <w:rsid w:val="005B76A9"/>
    <w:rsid w:val="005D5658"/>
    <w:rsid w:val="00610969"/>
    <w:rsid w:val="006134B8"/>
    <w:rsid w:val="00637EC8"/>
    <w:rsid w:val="00660B87"/>
    <w:rsid w:val="006A6980"/>
    <w:rsid w:val="006B0196"/>
    <w:rsid w:val="006C39F2"/>
    <w:rsid w:val="006D691D"/>
    <w:rsid w:val="006F2FF6"/>
    <w:rsid w:val="006F69C1"/>
    <w:rsid w:val="00713A55"/>
    <w:rsid w:val="007479D2"/>
    <w:rsid w:val="007720EA"/>
    <w:rsid w:val="00783953"/>
    <w:rsid w:val="007C4DC3"/>
    <w:rsid w:val="007D4190"/>
    <w:rsid w:val="007E4633"/>
    <w:rsid w:val="00837E71"/>
    <w:rsid w:val="00870C83"/>
    <w:rsid w:val="008F502A"/>
    <w:rsid w:val="009037D3"/>
    <w:rsid w:val="009157AE"/>
    <w:rsid w:val="00953D69"/>
    <w:rsid w:val="0097076D"/>
    <w:rsid w:val="00977F13"/>
    <w:rsid w:val="009A141D"/>
    <w:rsid w:val="009B584C"/>
    <w:rsid w:val="009C2F7A"/>
    <w:rsid w:val="009D5EC2"/>
    <w:rsid w:val="009F3B49"/>
    <w:rsid w:val="00A269FA"/>
    <w:rsid w:val="00A52D37"/>
    <w:rsid w:val="00A6504E"/>
    <w:rsid w:val="00AB307E"/>
    <w:rsid w:val="00AD35CE"/>
    <w:rsid w:val="00B52699"/>
    <w:rsid w:val="00B5712B"/>
    <w:rsid w:val="00BA44FB"/>
    <w:rsid w:val="00C135B4"/>
    <w:rsid w:val="00C44087"/>
    <w:rsid w:val="00C65CCE"/>
    <w:rsid w:val="00D02331"/>
    <w:rsid w:val="00D0604E"/>
    <w:rsid w:val="00D10D18"/>
    <w:rsid w:val="00D31B88"/>
    <w:rsid w:val="00D60007"/>
    <w:rsid w:val="00D83F50"/>
    <w:rsid w:val="00E1122E"/>
    <w:rsid w:val="00E2591A"/>
    <w:rsid w:val="00E41BE2"/>
    <w:rsid w:val="00E639B1"/>
    <w:rsid w:val="00E67006"/>
    <w:rsid w:val="00EB18D1"/>
    <w:rsid w:val="00EF5E6F"/>
    <w:rsid w:val="00F02045"/>
    <w:rsid w:val="00F14D17"/>
    <w:rsid w:val="00F37D71"/>
    <w:rsid w:val="00FC7F12"/>
    <w:rsid w:val="00FD0E60"/>
    <w:rsid w:val="00FE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1472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3">
    <w:name w:val="header"/>
    <w:basedOn w:val="a"/>
    <w:link w:val="a4"/>
    <w:rsid w:val="00386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86E35"/>
    <w:rPr>
      <w:kern w:val="2"/>
    </w:rPr>
  </w:style>
  <w:style w:type="paragraph" w:styleId="a5">
    <w:name w:val="footer"/>
    <w:basedOn w:val="a"/>
    <w:link w:val="a6"/>
    <w:rsid w:val="00386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86E3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>MOJ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請託關說登錄查察作業抽查機制</dc:title>
  <dc:creator>MOJ</dc:creator>
  <cp:lastModifiedBy>aac2026</cp:lastModifiedBy>
  <cp:revision>2</cp:revision>
  <cp:lastPrinted>2013-01-02T09:46:00Z</cp:lastPrinted>
  <dcterms:created xsi:type="dcterms:W3CDTF">2015-03-17T09:05:00Z</dcterms:created>
  <dcterms:modified xsi:type="dcterms:W3CDTF">2015-03-17T09:05:00Z</dcterms:modified>
</cp:coreProperties>
</file>